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03" w:rsidRPr="003D0403" w:rsidRDefault="003D0403" w:rsidP="003D0403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  <w:r w:rsidRPr="003D0403"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Bakonycsernye Község Önkormányzat Képviselő-testületének </w:t>
      </w:r>
    </w:p>
    <w:p w:rsidR="003D0403" w:rsidRPr="003D0403" w:rsidRDefault="003D0403" w:rsidP="003D0403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20</w:t>
      </w:r>
      <w:r w:rsidRPr="003D0403">
        <w:rPr>
          <w:rFonts w:ascii="Times" w:eastAsia="Times New Roman" w:hAnsi="Times" w:cs="Times"/>
          <w:bCs/>
          <w:color w:val="000000"/>
          <w:sz w:val="24"/>
          <w:szCs w:val="24"/>
        </w:rPr>
        <w:t>/2015. (</w:t>
      </w:r>
      <w:r>
        <w:rPr>
          <w:rFonts w:ascii="Times" w:eastAsia="Times New Roman" w:hAnsi="Times" w:cs="Times"/>
          <w:bCs/>
          <w:color w:val="000000"/>
          <w:sz w:val="24"/>
          <w:szCs w:val="24"/>
        </w:rPr>
        <w:t>XI.26.</w:t>
      </w:r>
      <w:r w:rsidRPr="003D0403">
        <w:rPr>
          <w:rFonts w:ascii="Times" w:eastAsia="Times New Roman" w:hAnsi="Times" w:cs="Times"/>
          <w:bCs/>
          <w:color w:val="000000"/>
          <w:sz w:val="24"/>
          <w:szCs w:val="24"/>
        </w:rPr>
        <w:t>) önkormányzati rendelete</w:t>
      </w:r>
    </w:p>
    <w:p w:rsidR="003D0403" w:rsidRPr="003D0403" w:rsidRDefault="003D0403" w:rsidP="003D0403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  <w:r w:rsidRPr="003D0403">
        <w:rPr>
          <w:rFonts w:ascii="Times" w:eastAsia="Times New Roman" w:hAnsi="Times" w:cs="Times"/>
          <w:bCs/>
          <w:color w:val="000000"/>
          <w:sz w:val="24"/>
          <w:szCs w:val="24"/>
        </w:rPr>
        <w:t>a helyi adókról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Bakonycsernye Község Önkormányzat Képviselő-testülete a helyi adókról szóló 1990. évi C. törvény 1.§ (1) bekezdésében kapott felhatalmazás alapján, Magyarország Alaptörvényének 32. cikk (1) bekezdés h) pontjában meghatározott feladatkörében eljárva,  a következőket rendeli el: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3D0403" w:rsidRDefault="003D0403" w:rsidP="003D0403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  <w:r w:rsidRPr="00BC7427">
        <w:rPr>
          <w:rFonts w:ascii="Times" w:eastAsia="Times New Roman" w:hAnsi="Times" w:cs="Times"/>
          <w:bCs/>
          <w:color w:val="000000"/>
          <w:sz w:val="24"/>
          <w:szCs w:val="24"/>
        </w:rPr>
        <w:t>Általános rendelkezések</w:t>
      </w:r>
    </w:p>
    <w:p w:rsidR="003D0403" w:rsidRPr="00BC7427" w:rsidRDefault="003D0403" w:rsidP="003D0403">
      <w:pPr>
        <w:pStyle w:val="Listaszerbekezds"/>
        <w:spacing w:after="0" w:line="240" w:lineRule="auto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1.§. Bakonycsernye Község Önkormányzat Képviselő-testülete Bakonycsernye illetékességi területén a helyi adókról szóló 1990. évi C. törvényben (továbbiakban: Htv.) felsorolt helyi adók közül határozatlan időre 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a)</w:t>
      </w:r>
      <w:r w:rsidR="00FC7675">
        <w:rPr>
          <w:rStyle w:val="Lbjegyzet-hivatkozs"/>
          <w:rFonts w:ascii="Times" w:eastAsia="Times New Roman" w:hAnsi="Times" w:cs="Times"/>
          <w:bCs/>
          <w:color w:val="000000"/>
          <w:sz w:val="24"/>
          <w:szCs w:val="24"/>
        </w:rPr>
        <w:footnoteReference w:id="2"/>
      </w:r>
      <w:r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 magánszemély kommunális adóját és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b) helyi iparűzési adót 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vezet be.</w:t>
      </w:r>
    </w:p>
    <w:p w:rsidR="003D0403" w:rsidRDefault="003D0403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2.§</w:t>
      </w:r>
      <w:r w:rsidR="00FC7675">
        <w:rPr>
          <w:rStyle w:val="Lbjegyzet-hivatkozs"/>
          <w:rFonts w:ascii="Times" w:eastAsia="Times New Roman" w:hAnsi="Times" w:cs="Times"/>
          <w:bCs/>
          <w:color w:val="000000"/>
          <w:sz w:val="24"/>
          <w:szCs w:val="24"/>
        </w:rPr>
        <w:footnoteReference w:id="3"/>
      </w:r>
      <w:r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 </w:t>
      </w:r>
      <w:r w:rsidRPr="00EF3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 önkormányzat a bevezetett adók bevallására, bejelentésére külön formanyomtatványt nem határoz meg, azokat az</w:t>
      </w:r>
      <w:r w:rsidRPr="00EF39B4">
        <w:rPr>
          <w:rFonts w:ascii="Times New Roman" w:hAnsi="Times New Roman" w:cs="Times New Roman"/>
          <w:sz w:val="24"/>
          <w:szCs w:val="24"/>
        </w:rPr>
        <w:t xml:space="preserve"> önkormányzati adóhatóságok által rendszeresíthető bevallási, bejelentési nyomtatványok tartalmáról szóló </w:t>
      </w:r>
      <w:r w:rsidR="00FC7675">
        <w:rPr>
          <w:rFonts w:ascii="Times New Roman" w:hAnsi="Times New Roman" w:cs="Times New Roman"/>
          <w:sz w:val="24"/>
          <w:szCs w:val="24"/>
        </w:rPr>
        <w:t>35/2008.(XII.31.) PM</w:t>
      </w:r>
      <w:r w:rsidRPr="00EF39B4">
        <w:rPr>
          <w:rFonts w:ascii="Times New Roman" w:hAnsi="Times New Roman" w:cs="Times New Roman"/>
          <w:sz w:val="24"/>
          <w:szCs w:val="24"/>
        </w:rPr>
        <w:t xml:space="preserve"> rendelet</w:t>
      </w:r>
      <w:r w:rsidR="00FC7675">
        <w:rPr>
          <w:rFonts w:ascii="Times New Roman" w:hAnsi="Times New Roman" w:cs="Times New Roman"/>
          <w:sz w:val="24"/>
          <w:szCs w:val="24"/>
        </w:rPr>
        <w:t xml:space="preserve"> (továbbiakban: PM rendelet)</w:t>
      </w:r>
      <w:r w:rsidRPr="00EF39B4">
        <w:rPr>
          <w:rFonts w:ascii="Times New Roman" w:hAnsi="Times New Roman" w:cs="Times New Roman"/>
          <w:sz w:val="24"/>
          <w:szCs w:val="24"/>
        </w:rPr>
        <w:t xml:space="preserve"> szerinti, az adónemre vonatkozó bevallási nyomtatvá</w:t>
      </w:r>
      <w:r>
        <w:rPr>
          <w:rFonts w:ascii="Times New Roman" w:hAnsi="Times New Roman" w:cs="Times New Roman"/>
          <w:sz w:val="24"/>
          <w:szCs w:val="24"/>
        </w:rPr>
        <w:t>nyon teljesítendők.</w:t>
      </w:r>
    </w:p>
    <w:p w:rsidR="003D0403" w:rsidRDefault="003D0403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03" w:rsidRPr="00BC7427" w:rsidRDefault="003D0403" w:rsidP="003D0403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  <w:r w:rsidRPr="00BC7427">
        <w:rPr>
          <w:rFonts w:ascii="Times" w:eastAsia="Times New Roman" w:hAnsi="Times" w:cs="Times"/>
          <w:bCs/>
          <w:color w:val="000000"/>
          <w:sz w:val="24"/>
          <w:szCs w:val="24"/>
        </w:rPr>
        <w:t>Magánszemély kommunális adója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3.§ Kommunális adókötelezettség terheli a Htv. 12.§-ában, valamint a Htv. 18.§-ában meghatározott magánszemélyt, továbbá azt a magánszemélyt is, aki az önkormányzat illetékességi területén nem magánszemély tulajdonában álló lakás bérleti jogával rendelkezik. </w:t>
      </w:r>
    </w:p>
    <w:p w:rsidR="00FC7675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4.§</w:t>
      </w:r>
      <w:r w:rsidR="00FC7675">
        <w:rPr>
          <w:rStyle w:val="Lbjegyzet-hivatkozs"/>
          <w:rFonts w:ascii="Times" w:eastAsia="Times New Roman" w:hAnsi="Times" w:cs="Times"/>
          <w:bCs/>
          <w:color w:val="000000"/>
          <w:sz w:val="24"/>
          <w:szCs w:val="24"/>
        </w:rPr>
        <w:footnoteReference w:id="4"/>
      </w:r>
      <w:r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 </w:t>
      </w:r>
      <w:r w:rsidR="00FC7675"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(1) </w:t>
      </w:r>
      <w:r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Az adó mértéke a Htv. 11. §-ában és a Htv. 17.§-ában meghatározott adótárgyanként, </w:t>
      </w:r>
      <w:r w:rsidR="00FC7675">
        <w:rPr>
          <w:rFonts w:ascii="Times" w:eastAsia="Times New Roman" w:hAnsi="Times" w:cs="Times"/>
          <w:bCs/>
          <w:color w:val="000000"/>
          <w:sz w:val="24"/>
          <w:szCs w:val="24"/>
        </w:rPr>
        <w:t>vagy</w:t>
      </w:r>
      <w:r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 lakásbérleti jogonként 9.000 Ft. </w:t>
      </w:r>
    </w:p>
    <w:p w:rsidR="003D0403" w:rsidRDefault="00FC7675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(2) </w:t>
      </w:r>
      <w:r w:rsidR="003D0403">
        <w:rPr>
          <w:rFonts w:ascii="Times" w:eastAsia="Times New Roman" w:hAnsi="Times" w:cs="Times"/>
          <w:bCs/>
          <w:color w:val="000000"/>
          <w:sz w:val="24"/>
          <w:szCs w:val="24"/>
        </w:rPr>
        <w:t>Kérelemre kedvezményben részesül a 70. életévének betöltését követő évtől a lakóhelyéül szolgáló ingatlana vonatkozásában az az egyedülálló személy, akinek a havi jövedelme a 60.000 Ft-ot nem haladja meg.</w:t>
      </w:r>
    </w:p>
    <w:p w:rsidR="003D0403" w:rsidRDefault="003D0403" w:rsidP="003D0403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3. Helyi iparűzési adó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3D0403" w:rsidRDefault="0003472B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5</w:t>
      </w:r>
      <w:r w:rsidR="003D0403">
        <w:rPr>
          <w:rFonts w:ascii="Times" w:eastAsia="Times New Roman" w:hAnsi="Times" w:cs="Times"/>
          <w:bCs/>
          <w:color w:val="000000"/>
          <w:sz w:val="24"/>
          <w:szCs w:val="24"/>
        </w:rPr>
        <w:t>.§ Adóköteles az önkormányzat illetékességi területén állandó vagy ideiglenes jelleggel végzett vállalkozási tevékenység (a továbbiakban: iparűzési tevékenység).</w:t>
      </w:r>
    </w:p>
    <w:p w:rsidR="000270E5" w:rsidRDefault="0003472B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6</w:t>
      </w:r>
      <w:r w:rsidR="003D0403"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.§ (1) Az állandó jelleggel végzett iparűzési tevékenység esetén az adó évi mértéke az adóalap 2%-a. 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(2) Ideiglenes jelleggel végzett iparűzési tevékenység esetén az adó mértéke naptári naponként 2.000 Ft. </w:t>
      </w:r>
    </w:p>
    <w:p w:rsidR="003D0403" w:rsidRDefault="003D0403" w:rsidP="003D0403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4. Záró rendelkezések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3D0403" w:rsidRDefault="0003472B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7</w:t>
      </w:r>
      <w:r w:rsidR="003D0403">
        <w:rPr>
          <w:rFonts w:ascii="Times" w:eastAsia="Times New Roman" w:hAnsi="Times" w:cs="Times"/>
          <w:bCs/>
          <w:color w:val="000000"/>
          <w:sz w:val="24"/>
          <w:szCs w:val="24"/>
        </w:rPr>
        <w:t>.§ (1) Ez a rendelet 2016. január 1</w:t>
      </w:r>
      <w:r w:rsidR="000270E5">
        <w:rPr>
          <w:rFonts w:ascii="Times" w:eastAsia="Times New Roman" w:hAnsi="Times" w:cs="Times"/>
          <w:bCs/>
          <w:color w:val="000000"/>
          <w:sz w:val="24"/>
          <w:szCs w:val="24"/>
        </w:rPr>
        <w:t>-j</w:t>
      </w:r>
      <w:r w:rsidR="003D0403">
        <w:rPr>
          <w:rFonts w:ascii="Times" w:eastAsia="Times New Roman" w:hAnsi="Times" w:cs="Times"/>
          <w:bCs/>
          <w:color w:val="000000"/>
          <w:sz w:val="24"/>
          <w:szCs w:val="24"/>
        </w:rPr>
        <w:t>én lép hatályba.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(2) Hatályát veszti a helyi iparűzési adóról szóló 9/2004. (IV.15.) önkormányzati rendelet.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lastRenderedPageBreak/>
        <w:t>(3) Hatályát veszti a magánszemélyek kommunális adójáról szóló 10/2004. (IV.15.) önkormányzati rendelet.</w:t>
      </w:r>
    </w:p>
    <w:p w:rsidR="003D040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(4) Hatályát veszti a magánszemélyek kommunális adójáról szóló 10/2004. (IV.15.) önkormányzati rendelet módosításáról szóló 29/2004. (IX.23.) önkormányzati rendelet.</w:t>
      </w:r>
    </w:p>
    <w:p w:rsidR="003D0403" w:rsidRPr="00332633" w:rsidRDefault="003D0403" w:rsidP="003D0403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(5) Hatályát veszti a magánszemélyek kommunális adójáról szóló 10/2004. (IV.15.) önkormányzati rendelet módosításáról szóló 26/2007.(XII.21.) önkormányzati rendelet.</w:t>
      </w:r>
    </w:p>
    <w:p w:rsidR="003D0403" w:rsidRDefault="003D0403" w:rsidP="003D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Turi Balázs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Fidrich Tamásné</w:t>
      </w:r>
    </w:p>
    <w:p w:rsidR="003D0403" w:rsidRDefault="003D0403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3D0403" w:rsidRDefault="003D0403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03" w:rsidRPr="003E7BC9" w:rsidRDefault="003D0403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7BC9">
        <w:rPr>
          <w:rFonts w:ascii="Times New Roman" w:hAnsi="Times New Roman" w:cs="Times New Roman"/>
          <w:sz w:val="24"/>
          <w:szCs w:val="24"/>
          <w:u w:val="single"/>
        </w:rPr>
        <w:t>Kihirdetési záradék:</w:t>
      </w:r>
    </w:p>
    <w:p w:rsidR="003D0403" w:rsidRDefault="003D0403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rendelet 2015. november</w:t>
      </w:r>
      <w:r w:rsidR="000270E5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-án kihirdetésre került: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Fidrich Tamásné</w:t>
      </w:r>
    </w:p>
    <w:p w:rsidR="003D0403" w:rsidRDefault="003D0403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FC7675" w:rsidRDefault="00FC7675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75" w:rsidRDefault="00FC7675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75" w:rsidRDefault="00FC7675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75" w:rsidRDefault="00FC7675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75" w:rsidRDefault="00FC7675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Egységes szerkezetbe foglalva: 2016. május 26.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Fidrich Tamásné </w:t>
      </w:r>
    </w:p>
    <w:p w:rsidR="00FC7675" w:rsidRDefault="00FC7675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FC7675" w:rsidRPr="001D2946" w:rsidRDefault="00FC7675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03" w:rsidRDefault="003D0403" w:rsidP="003D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Default="006D0619"/>
    <w:p w:rsidR="00FC7675" w:rsidRDefault="00FC7675"/>
    <w:sectPr w:rsidR="00FC7675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89" w:rsidRDefault="00017B89" w:rsidP="00FC7675">
      <w:pPr>
        <w:spacing w:after="0" w:line="240" w:lineRule="auto"/>
      </w:pPr>
      <w:r>
        <w:separator/>
      </w:r>
    </w:p>
  </w:endnote>
  <w:endnote w:type="continuationSeparator" w:id="1">
    <w:p w:rsidR="00017B89" w:rsidRDefault="00017B89" w:rsidP="00FC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89" w:rsidRDefault="00017B89" w:rsidP="00FC7675">
      <w:pPr>
        <w:spacing w:after="0" w:line="240" w:lineRule="auto"/>
      </w:pPr>
      <w:r>
        <w:separator/>
      </w:r>
    </w:p>
  </w:footnote>
  <w:footnote w:type="continuationSeparator" w:id="1">
    <w:p w:rsidR="00017B89" w:rsidRDefault="00017B89" w:rsidP="00FC7675">
      <w:pPr>
        <w:spacing w:after="0" w:line="240" w:lineRule="auto"/>
      </w:pPr>
      <w:r>
        <w:continuationSeparator/>
      </w:r>
    </w:p>
  </w:footnote>
  <w:footnote w:id="2">
    <w:p w:rsidR="00FC7675" w:rsidRDefault="00FC7675">
      <w:pPr>
        <w:pStyle w:val="Lbjegyzetszveg"/>
      </w:pPr>
      <w:r>
        <w:rPr>
          <w:rStyle w:val="Lbjegyzet-hivatkozs"/>
        </w:rPr>
        <w:footnoteRef/>
      </w:r>
      <w:r>
        <w:t xml:space="preserve"> Módosította a 13/2016.(V.26.) önkormányzati rendelet. Hatályos 2016. június 1-től. </w:t>
      </w:r>
    </w:p>
  </w:footnote>
  <w:footnote w:id="3">
    <w:p w:rsidR="00FC7675" w:rsidRDefault="00FC7675">
      <w:pPr>
        <w:pStyle w:val="Lbjegyzetszveg"/>
      </w:pPr>
      <w:r>
        <w:rPr>
          <w:rStyle w:val="Lbjegyzet-hivatkozs"/>
        </w:rPr>
        <w:footnoteRef/>
      </w:r>
      <w:r>
        <w:t xml:space="preserve"> Módosította a 13/2016.(V.26.) önkormányzati rendelet. Hatályos 2016. június 1-től. </w:t>
      </w:r>
    </w:p>
  </w:footnote>
  <w:footnote w:id="4">
    <w:p w:rsidR="00FC7675" w:rsidRDefault="00FC7675">
      <w:pPr>
        <w:pStyle w:val="Lbjegyzetszveg"/>
      </w:pPr>
      <w:r>
        <w:rPr>
          <w:rStyle w:val="Lbjegyzet-hivatkozs"/>
        </w:rPr>
        <w:footnoteRef/>
      </w:r>
      <w:r>
        <w:t xml:space="preserve"> Módosította a 13/2016.(V.26.) önkormányzati rendelet. Hatályos 2016. június 1-től.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3213"/>
    <w:multiLevelType w:val="hybridMultilevel"/>
    <w:tmpl w:val="01289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403"/>
    <w:rsid w:val="0001454E"/>
    <w:rsid w:val="00017B89"/>
    <w:rsid w:val="000270E5"/>
    <w:rsid w:val="0003472B"/>
    <w:rsid w:val="003822DC"/>
    <w:rsid w:val="003D0403"/>
    <w:rsid w:val="00520786"/>
    <w:rsid w:val="006D0619"/>
    <w:rsid w:val="008334F6"/>
    <w:rsid w:val="00FC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0403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040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C76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C7675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C76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1F8F-8E60-4DF3-9AE0-8113ACAA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2588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7</cp:revision>
  <cp:lastPrinted>2015-12-01T09:47:00Z</cp:lastPrinted>
  <dcterms:created xsi:type="dcterms:W3CDTF">2015-11-26T13:10:00Z</dcterms:created>
  <dcterms:modified xsi:type="dcterms:W3CDTF">2016-05-24T13:17:00Z</dcterms:modified>
</cp:coreProperties>
</file>