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EA4F2C">
        <w:rPr>
          <w:rFonts w:ascii="Arial" w:hAnsi="Arial" w:cs="Arial"/>
          <w:b/>
        </w:rPr>
        <w:t>Nagyk</w:t>
      </w:r>
      <w:r>
        <w:rPr>
          <w:rFonts w:ascii="Arial" w:hAnsi="Arial" w:cs="Arial"/>
          <w:b/>
        </w:rPr>
        <w:t>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Default="00837C85" w:rsidP="00436AB8">
      <w:pPr>
        <w:jc w:val="center"/>
      </w:pPr>
    </w:p>
    <w:p w:rsidR="008A6BFC" w:rsidRPr="00597E86" w:rsidRDefault="00436AB8" w:rsidP="00436AB8">
      <w:pPr>
        <w:jc w:val="center"/>
        <w:rPr>
          <w:szCs w:val="24"/>
        </w:rPr>
      </w:pPr>
      <w:r w:rsidRPr="00597E86">
        <w:rPr>
          <w:szCs w:val="24"/>
        </w:rPr>
        <w:t>ELŐTERJESZTÉS</w:t>
      </w:r>
    </w:p>
    <w:p w:rsidR="00837C85" w:rsidRPr="00597E86" w:rsidRDefault="00411199" w:rsidP="00411199">
      <w:pPr>
        <w:jc w:val="center"/>
        <w:rPr>
          <w:szCs w:val="24"/>
        </w:rPr>
      </w:pPr>
      <w:r>
        <w:rPr>
          <w:szCs w:val="24"/>
        </w:rPr>
        <w:t>Karácsonyi díszkivilágítás</w:t>
      </w:r>
      <w:r w:rsidR="00D116E9">
        <w:rPr>
          <w:szCs w:val="24"/>
        </w:rPr>
        <w:t xml:space="preserve"> fejlesztésére</w:t>
      </w:r>
    </w:p>
    <w:p w:rsidR="00436AB8" w:rsidRPr="00597E86" w:rsidRDefault="00436AB8" w:rsidP="0015793B">
      <w:pPr>
        <w:rPr>
          <w:szCs w:val="24"/>
        </w:rPr>
      </w:pPr>
    </w:p>
    <w:p w:rsidR="00C56997" w:rsidRPr="00597E86" w:rsidRDefault="00C56997" w:rsidP="0015793B">
      <w:pPr>
        <w:rPr>
          <w:szCs w:val="24"/>
        </w:rPr>
      </w:pPr>
    </w:p>
    <w:p w:rsidR="006E019C" w:rsidRPr="00597E86" w:rsidRDefault="00461145">
      <w:pPr>
        <w:rPr>
          <w:szCs w:val="24"/>
        </w:rPr>
      </w:pPr>
      <w:r w:rsidRPr="00597E86">
        <w:rPr>
          <w:szCs w:val="24"/>
        </w:rPr>
        <w:t>Tisztelt Képviselő-testület!</w:t>
      </w:r>
    </w:p>
    <w:p w:rsidR="004C2FE3" w:rsidRPr="00597E86" w:rsidRDefault="004C2FE3">
      <w:pPr>
        <w:rPr>
          <w:szCs w:val="24"/>
        </w:rPr>
      </w:pPr>
    </w:p>
    <w:p w:rsidR="00461145" w:rsidRPr="00597E86" w:rsidRDefault="00461145">
      <w:pPr>
        <w:rPr>
          <w:szCs w:val="24"/>
        </w:rPr>
      </w:pPr>
    </w:p>
    <w:p w:rsidR="00411199" w:rsidRDefault="00927540" w:rsidP="00B90B42">
      <w:pPr>
        <w:spacing w:line="360" w:lineRule="auto"/>
        <w:rPr>
          <w:szCs w:val="24"/>
        </w:rPr>
      </w:pPr>
      <w:r>
        <w:rPr>
          <w:szCs w:val="24"/>
        </w:rPr>
        <w:t xml:space="preserve">Előzmény: </w:t>
      </w:r>
    </w:p>
    <w:p w:rsidR="002543FC" w:rsidRDefault="00522681" w:rsidP="00B90B42">
      <w:pPr>
        <w:spacing w:line="360" w:lineRule="auto"/>
        <w:rPr>
          <w:szCs w:val="24"/>
        </w:rPr>
      </w:pPr>
      <w:r>
        <w:rPr>
          <w:szCs w:val="24"/>
        </w:rPr>
        <w:t xml:space="preserve">Bakonycsernye Nagyközség Önkormányzata </w:t>
      </w:r>
      <w:r w:rsidR="00411199">
        <w:rPr>
          <w:szCs w:val="24"/>
        </w:rPr>
        <w:t>folyamatosan</w:t>
      </w:r>
      <w:r>
        <w:rPr>
          <w:szCs w:val="24"/>
        </w:rPr>
        <w:t xml:space="preserve"> </w:t>
      </w:r>
      <w:r w:rsidR="00411199">
        <w:rPr>
          <w:szCs w:val="24"/>
        </w:rPr>
        <w:t>bővíti</w:t>
      </w:r>
      <w:r>
        <w:rPr>
          <w:szCs w:val="24"/>
        </w:rPr>
        <w:t xml:space="preserve"> a karácsonyi díszkivilágítást településünkön. Ezt minden évben a közvilágítás-fejlesztésére félretett pénzből fedezte. Idén is szeretnénk bővíteni a rendszert. Az eddigiektől eltérően most nem átfeszítéses fényfűzért rendelnénk meg, hanem külön villanyoszlopokat díszítenénk fel. Bekérve az árajánlatokat hat darab fényt tudnánk megrendelni, hat külön oszlopra. Mindegy egyes </w:t>
      </w:r>
      <w:r w:rsidR="006D1964">
        <w:rPr>
          <w:szCs w:val="24"/>
        </w:rPr>
        <w:t>fényhez</w:t>
      </w:r>
      <w:r>
        <w:rPr>
          <w:szCs w:val="24"/>
        </w:rPr>
        <w:t xml:space="preserve"> külön doboz felszerelése szükséges, melyet a mellékelt árajánlat tartalmaz a szolgáltató felé történő bejelentési kötelezettségel együtt.</w:t>
      </w:r>
      <w:r w:rsidR="00411199">
        <w:rPr>
          <w:szCs w:val="24"/>
        </w:rPr>
        <w:t xml:space="preserve"> A fények </w:t>
      </w:r>
      <w:r w:rsidR="00D116E9">
        <w:rPr>
          <w:szCs w:val="24"/>
        </w:rPr>
        <w:t>kihelyezését</w:t>
      </w:r>
      <w:r w:rsidR="00411199">
        <w:rPr>
          <w:szCs w:val="24"/>
        </w:rPr>
        <w:t xml:space="preserve"> kosaras autóval a Klein Park Kft. idén is társadalmi munkába vállalja. A felszerelé</w:t>
      </w:r>
      <w:r w:rsidR="00D116E9">
        <w:rPr>
          <w:szCs w:val="24"/>
        </w:rPr>
        <w:t>seket Schvelik Imre egyéni vállalkozó végzi.</w:t>
      </w:r>
    </w:p>
    <w:p w:rsidR="00B90B42" w:rsidRDefault="00B90B42" w:rsidP="00C82E9D">
      <w:pPr>
        <w:rPr>
          <w:szCs w:val="24"/>
        </w:rPr>
      </w:pPr>
    </w:p>
    <w:p w:rsidR="00B90B42" w:rsidRPr="00597E86" w:rsidRDefault="00B90B42" w:rsidP="00C82E9D">
      <w:pPr>
        <w:rPr>
          <w:szCs w:val="24"/>
        </w:rPr>
      </w:pPr>
      <w:r>
        <w:rPr>
          <w:szCs w:val="24"/>
        </w:rPr>
        <w:t>A költségek a következőkből tevődnek össze:</w:t>
      </w:r>
    </w:p>
    <w:p w:rsidR="004C2FE3" w:rsidRPr="00597E86" w:rsidRDefault="004C2FE3" w:rsidP="00C82E9D">
      <w:pPr>
        <w:rPr>
          <w:szCs w:val="24"/>
        </w:rPr>
      </w:pPr>
    </w:p>
    <w:tbl>
      <w:tblPr>
        <w:tblW w:w="7665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520"/>
        <w:gridCol w:w="2780"/>
        <w:gridCol w:w="1365"/>
      </w:tblGrid>
      <w:tr w:rsidR="00411199" w:rsidRPr="00411199" w:rsidTr="00411199">
        <w:trPr>
          <w:trHeight w:val="300"/>
        </w:trPr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center"/>
              <w:rPr>
                <w:rFonts w:ascii="Calibri" w:hAnsi="Calibri"/>
                <w:b/>
                <w:bCs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b/>
                <w:bCs/>
                <w:noProof w:val="0"/>
                <w:color w:val="000000"/>
                <w:sz w:val="22"/>
                <w:szCs w:val="22"/>
                <w:lang w:val="hu-HU" w:eastAsia="hu-HU"/>
              </w:rPr>
              <w:t>Tárgy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center"/>
              <w:rPr>
                <w:rFonts w:ascii="Calibri" w:hAnsi="Calibri"/>
                <w:b/>
                <w:bCs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b/>
                <w:bCs/>
                <w:noProof w:val="0"/>
                <w:color w:val="000000"/>
                <w:sz w:val="22"/>
                <w:szCs w:val="22"/>
                <w:lang w:val="hu-HU" w:eastAsia="hu-HU"/>
              </w:rPr>
              <w:t>Vállalkozó neve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center"/>
              <w:rPr>
                <w:rFonts w:ascii="Calibri" w:hAnsi="Calibri"/>
                <w:b/>
                <w:bCs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b/>
                <w:bCs/>
                <w:noProof w:val="0"/>
                <w:color w:val="000000"/>
                <w:sz w:val="22"/>
                <w:szCs w:val="22"/>
                <w:lang w:val="hu-HU" w:eastAsia="hu-HU"/>
              </w:rPr>
              <w:t>Költség</w:t>
            </w:r>
          </w:p>
        </w:tc>
      </w:tr>
      <w:tr w:rsidR="00411199" w:rsidRPr="00411199" w:rsidTr="00411199">
        <w:trPr>
          <w:trHeight w:val="30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center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Karácsonyi fény - 6 db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center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Clean Style Kft.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307 460 Ft</w:t>
            </w:r>
          </w:p>
        </w:tc>
      </w:tr>
      <w:tr w:rsidR="00411199" w:rsidRPr="00411199" w:rsidTr="00411199">
        <w:trPr>
          <w:trHeight w:val="30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Oszlop csatlakozó doboz  - 6 db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199" w:rsidRPr="00411199" w:rsidRDefault="00411199" w:rsidP="00411199">
            <w:pPr>
              <w:keepLines w:val="0"/>
              <w:jc w:val="center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Hoff-Vill Villanyszerelési Bt.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202 692 Ft</w:t>
            </w:r>
          </w:p>
        </w:tc>
      </w:tr>
      <w:tr w:rsidR="00411199" w:rsidRPr="00411199" w:rsidTr="00411199">
        <w:trPr>
          <w:trHeight w:val="30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Mosdorfer sz/sz kötőelem - 6 db</w:t>
            </w: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99" w:rsidRPr="00411199" w:rsidRDefault="00411199" w:rsidP="00411199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35 664 Ft</w:t>
            </w:r>
          </w:p>
        </w:tc>
      </w:tr>
      <w:tr w:rsidR="00411199" w:rsidRPr="00411199" w:rsidTr="00411199">
        <w:trPr>
          <w:trHeight w:val="30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Fények felszerelése kosaras autóval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Klein Park Kft.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0 Ft</w:t>
            </w:r>
          </w:p>
        </w:tc>
      </w:tr>
      <w:tr w:rsidR="00411199" w:rsidRPr="00411199" w:rsidTr="00411199">
        <w:trPr>
          <w:trHeight w:val="30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Fények beszerelése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D116E9" w:rsidP="00411199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Schvelik</w:t>
            </w:r>
            <w:r w:rsidR="00411199"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 xml:space="preserve"> Imre ev.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50 000 Ft</w:t>
            </w:r>
          </w:p>
        </w:tc>
      </w:tr>
      <w:tr w:rsidR="00411199" w:rsidRPr="00411199" w:rsidTr="00411199">
        <w:trPr>
          <w:trHeight w:val="31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left"/>
              <w:rPr>
                <w:rFonts w:ascii="Calibri" w:hAnsi="Calibri"/>
                <w:b/>
                <w:bCs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b/>
                <w:bCs/>
                <w:noProof w:val="0"/>
                <w:color w:val="000000"/>
                <w:sz w:val="22"/>
                <w:szCs w:val="22"/>
                <w:lang w:val="hu-HU" w:eastAsia="hu-HU"/>
              </w:rPr>
              <w:t>Összes költség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noProof w:val="0"/>
                <w:color w:val="000000"/>
                <w:sz w:val="22"/>
                <w:szCs w:val="22"/>
                <w:lang w:val="hu-HU" w:eastAsia="hu-H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1199" w:rsidRPr="00411199" w:rsidRDefault="00411199" w:rsidP="00411199">
            <w:pPr>
              <w:keepLines w:val="0"/>
              <w:jc w:val="right"/>
              <w:rPr>
                <w:rFonts w:ascii="Calibri" w:hAnsi="Calibri"/>
                <w:b/>
                <w:bCs/>
                <w:noProof w:val="0"/>
                <w:color w:val="FF0000"/>
                <w:szCs w:val="22"/>
                <w:lang w:val="hu-HU" w:eastAsia="hu-HU"/>
              </w:rPr>
            </w:pPr>
            <w:r w:rsidRPr="00411199">
              <w:rPr>
                <w:rFonts w:ascii="Calibri" w:hAnsi="Calibri"/>
                <w:b/>
                <w:bCs/>
                <w:noProof w:val="0"/>
                <w:color w:val="FF0000"/>
                <w:sz w:val="22"/>
                <w:szCs w:val="22"/>
                <w:lang w:val="hu-HU" w:eastAsia="hu-HU"/>
              </w:rPr>
              <w:t>595 816 Ft</w:t>
            </w:r>
          </w:p>
        </w:tc>
      </w:tr>
    </w:tbl>
    <w:p w:rsidR="003C1E64" w:rsidRDefault="003C1E64" w:rsidP="00792422">
      <w:pPr>
        <w:rPr>
          <w:szCs w:val="24"/>
        </w:rPr>
      </w:pPr>
    </w:p>
    <w:p w:rsidR="00DE06A6" w:rsidRPr="00597E86" w:rsidRDefault="00DE06A6" w:rsidP="00B90B42">
      <w:pPr>
        <w:jc w:val="left"/>
        <w:rPr>
          <w:szCs w:val="24"/>
        </w:rPr>
      </w:pPr>
    </w:p>
    <w:p w:rsidR="006E019C" w:rsidRPr="00597E86" w:rsidRDefault="006E019C" w:rsidP="00411199">
      <w:pPr>
        <w:jc w:val="center"/>
        <w:rPr>
          <w:szCs w:val="24"/>
        </w:rPr>
      </w:pPr>
      <w:r w:rsidRPr="00597E86">
        <w:rPr>
          <w:szCs w:val="24"/>
        </w:rPr>
        <w:t>HATÁROZAT TERVEZET</w:t>
      </w:r>
    </w:p>
    <w:p w:rsidR="002A0DD0" w:rsidRPr="00597E86" w:rsidRDefault="002A0DD0" w:rsidP="006E019C">
      <w:pPr>
        <w:jc w:val="center"/>
        <w:rPr>
          <w:szCs w:val="24"/>
        </w:rPr>
      </w:pPr>
    </w:p>
    <w:p w:rsidR="00B153F6" w:rsidRPr="00597E86" w:rsidRDefault="00B153F6" w:rsidP="006E019C">
      <w:pPr>
        <w:jc w:val="center"/>
        <w:rPr>
          <w:szCs w:val="24"/>
        </w:rPr>
      </w:pPr>
    </w:p>
    <w:p w:rsidR="006F2650" w:rsidRPr="00597E86" w:rsidRDefault="004719A3" w:rsidP="00D116E9">
      <w:pPr>
        <w:spacing w:line="360" w:lineRule="auto"/>
        <w:rPr>
          <w:szCs w:val="24"/>
        </w:rPr>
      </w:pPr>
      <w:r w:rsidRPr="00597E86">
        <w:rPr>
          <w:szCs w:val="24"/>
        </w:rPr>
        <w:t xml:space="preserve">Bakonycsernye </w:t>
      </w:r>
      <w:r w:rsidR="00074D2B">
        <w:rPr>
          <w:szCs w:val="24"/>
        </w:rPr>
        <w:t>Nagyk</w:t>
      </w:r>
      <w:r w:rsidRPr="00597E86">
        <w:rPr>
          <w:szCs w:val="24"/>
        </w:rPr>
        <w:t>özség Önkormányzat</w:t>
      </w:r>
      <w:r w:rsidR="00522681">
        <w:rPr>
          <w:szCs w:val="24"/>
        </w:rPr>
        <w:t xml:space="preserve">a a közvilágítás fejlesztése szakfeladatról megrendeli hat darab </w:t>
      </w:r>
      <w:r w:rsidR="00D116E9">
        <w:rPr>
          <w:szCs w:val="24"/>
        </w:rPr>
        <w:t>világítótestet felszereléssel</w:t>
      </w:r>
      <w:r w:rsidR="00522681">
        <w:rPr>
          <w:szCs w:val="24"/>
        </w:rPr>
        <w:t>, v</w:t>
      </w:r>
      <w:r w:rsidR="00D116E9">
        <w:rPr>
          <w:szCs w:val="24"/>
        </w:rPr>
        <w:t>alamint az egyéb költségekkel.</w:t>
      </w:r>
    </w:p>
    <w:p w:rsidR="00F63EFA" w:rsidRPr="00597E86" w:rsidRDefault="00F63EFA" w:rsidP="004719A3">
      <w:pPr>
        <w:rPr>
          <w:szCs w:val="24"/>
        </w:rPr>
      </w:pPr>
    </w:p>
    <w:p w:rsidR="00597E86" w:rsidRPr="00597E86" w:rsidRDefault="00597E86" w:rsidP="00597E86">
      <w:pPr>
        <w:rPr>
          <w:szCs w:val="24"/>
        </w:rPr>
      </w:pPr>
      <w:r w:rsidRPr="00597E86">
        <w:rPr>
          <w:szCs w:val="24"/>
        </w:rPr>
        <w:t>Felhatalmazza a polgármestert a megbízási szerződés</w:t>
      </w:r>
      <w:r w:rsidR="00411199">
        <w:rPr>
          <w:szCs w:val="24"/>
        </w:rPr>
        <w:t>ek</w:t>
      </w:r>
      <w:r w:rsidRPr="00597E86">
        <w:rPr>
          <w:szCs w:val="24"/>
        </w:rPr>
        <w:t xml:space="preserve"> aláírására.</w:t>
      </w:r>
    </w:p>
    <w:p w:rsidR="00081BD6" w:rsidRPr="00597E86" w:rsidRDefault="00081BD6">
      <w:pPr>
        <w:rPr>
          <w:szCs w:val="24"/>
        </w:rPr>
      </w:pP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>Felelős: polgármester</w:t>
      </w:r>
    </w:p>
    <w:p w:rsidR="006E019C" w:rsidRPr="00597E86" w:rsidRDefault="006E019C">
      <w:pPr>
        <w:rPr>
          <w:szCs w:val="24"/>
        </w:rPr>
      </w:pPr>
      <w:r w:rsidRPr="00597E86">
        <w:rPr>
          <w:szCs w:val="24"/>
        </w:rPr>
        <w:t xml:space="preserve">Határidő: </w:t>
      </w:r>
      <w:r w:rsidR="006F2650">
        <w:rPr>
          <w:szCs w:val="24"/>
        </w:rPr>
        <w:t>Azonnal</w:t>
      </w: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</w:p>
    <w:p w:rsidR="002A0DD0" w:rsidRPr="00597E86" w:rsidRDefault="002A0DD0">
      <w:pPr>
        <w:rPr>
          <w:szCs w:val="24"/>
        </w:rPr>
      </w:pPr>
      <w:r w:rsidRPr="00597E86">
        <w:rPr>
          <w:szCs w:val="24"/>
        </w:rPr>
        <w:t xml:space="preserve">Bakonycsernye, 2018. </w:t>
      </w:r>
      <w:r w:rsidR="00B90B42">
        <w:rPr>
          <w:szCs w:val="24"/>
        </w:rPr>
        <w:t>október</w:t>
      </w:r>
      <w:r w:rsidRPr="00597E86">
        <w:rPr>
          <w:szCs w:val="24"/>
        </w:rPr>
        <w:t xml:space="preserve"> 12.</w:t>
      </w:r>
    </w:p>
    <w:p w:rsidR="0076198E" w:rsidRPr="00597E86" w:rsidRDefault="0076198E">
      <w:pPr>
        <w:rPr>
          <w:szCs w:val="24"/>
        </w:rPr>
      </w:pPr>
    </w:p>
    <w:sectPr w:rsidR="0076198E" w:rsidRPr="00597E86" w:rsidSect="00D116E9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16F5A"/>
    <w:multiLevelType w:val="hybridMultilevel"/>
    <w:tmpl w:val="35763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FC4B3B"/>
    <w:multiLevelType w:val="hybridMultilevel"/>
    <w:tmpl w:val="B0740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40E30"/>
    <w:rsid w:val="00043FBC"/>
    <w:rsid w:val="00074D2B"/>
    <w:rsid w:val="00081BD6"/>
    <w:rsid w:val="0015793B"/>
    <w:rsid w:val="001603FE"/>
    <w:rsid w:val="001E29E7"/>
    <w:rsid w:val="00202ED7"/>
    <w:rsid w:val="00244653"/>
    <w:rsid w:val="002543C1"/>
    <w:rsid w:val="002543FC"/>
    <w:rsid w:val="00296EF2"/>
    <w:rsid w:val="002A0DD0"/>
    <w:rsid w:val="002D5204"/>
    <w:rsid w:val="002E3B86"/>
    <w:rsid w:val="00324554"/>
    <w:rsid w:val="00332B27"/>
    <w:rsid w:val="00334E66"/>
    <w:rsid w:val="00355F3E"/>
    <w:rsid w:val="00396103"/>
    <w:rsid w:val="003C1E64"/>
    <w:rsid w:val="003E1AB8"/>
    <w:rsid w:val="00411199"/>
    <w:rsid w:val="004235C4"/>
    <w:rsid w:val="00436AB8"/>
    <w:rsid w:val="00461145"/>
    <w:rsid w:val="004719A3"/>
    <w:rsid w:val="004A1CD8"/>
    <w:rsid w:val="004C20B5"/>
    <w:rsid w:val="004C2FE3"/>
    <w:rsid w:val="00500080"/>
    <w:rsid w:val="00522681"/>
    <w:rsid w:val="00573959"/>
    <w:rsid w:val="0058654F"/>
    <w:rsid w:val="00597E86"/>
    <w:rsid w:val="005E4281"/>
    <w:rsid w:val="00637610"/>
    <w:rsid w:val="00640225"/>
    <w:rsid w:val="006D1542"/>
    <w:rsid w:val="006D1964"/>
    <w:rsid w:val="006D29B6"/>
    <w:rsid w:val="006E019C"/>
    <w:rsid w:val="006E5449"/>
    <w:rsid w:val="006F2650"/>
    <w:rsid w:val="0075231B"/>
    <w:rsid w:val="0076198E"/>
    <w:rsid w:val="007765D8"/>
    <w:rsid w:val="00792422"/>
    <w:rsid w:val="007B1964"/>
    <w:rsid w:val="007F6774"/>
    <w:rsid w:val="00823089"/>
    <w:rsid w:val="00837C85"/>
    <w:rsid w:val="008A6690"/>
    <w:rsid w:val="008A6BFC"/>
    <w:rsid w:val="008C1753"/>
    <w:rsid w:val="00901461"/>
    <w:rsid w:val="00927540"/>
    <w:rsid w:val="00944221"/>
    <w:rsid w:val="00982C66"/>
    <w:rsid w:val="009846B7"/>
    <w:rsid w:val="009C1B65"/>
    <w:rsid w:val="009F31C8"/>
    <w:rsid w:val="00A20FBD"/>
    <w:rsid w:val="00A363DD"/>
    <w:rsid w:val="00A54607"/>
    <w:rsid w:val="00B0210D"/>
    <w:rsid w:val="00B153F6"/>
    <w:rsid w:val="00B37396"/>
    <w:rsid w:val="00B47413"/>
    <w:rsid w:val="00B71D5E"/>
    <w:rsid w:val="00B7205B"/>
    <w:rsid w:val="00B90B42"/>
    <w:rsid w:val="00BC61C8"/>
    <w:rsid w:val="00C40F14"/>
    <w:rsid w:val="00C56997"/>
    <w:rsid w:val="00C82E9D"/>
    <w:rsid w:val="00CB44B8"/>
    <w:rsid w:val="00D116E9"/>
    <w:rsid w:val="00D76E7A"/>
    <w:rsid w:val="00D855B0"/>
    <w:rsid w:val="00DD40DC"/>
    <w:rsid w:val="00DE06A6"/>
    <w:rsid w:val="00E16AE2"/>
    <w:rsid w:val="00E36B0A"/>
    <w:rsid w:val="00EA4F2C"/>
    <w:rsid w:val="00EB2BF0"/>
    <w:rsid w:val="00F25198"/>
    <w:rsid w:val="00F40D33"/>
    <w:rsid w:val="00F44A07"/>
    <w:rsid w:val="00F63EFA"/>
    <w:rsid w:val="00FA25A5"/>
    <w:rsid w:val="00FA4AA4"/>
    <w:rsid w:val="00FD1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1C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2</cp:revision>
  <cp:lastPrinted>2018-04-20T10:22:00Z</cp:lastPrinted>
  <dcterms:created xsi:type="dcterms:W3CDTF">2018-10-25T06:21:00Z</dcterms:created>
  <dcterms:modified xsi:type="dcterms:W3CDTF">2018-10-25T06:21:00Z</dcterms:modified>
</cp:coreProperties>
</file>