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312" w:rsidRDefault="007C3CB4" w:rsidP="007C3CB4">
      <w:pPr>
        <w:tabs>
          <w:tab w:val="left" w:pos="6200"/>
        </w:tabs>
        <w:rPr>
          <w:u w:val="none"/>
        </w:rPr>
      </w:pPr>
      <w:r>
        <w:rPr>
          <w:u w:val="none"/>
        </w:rPr>
        <w:tab/>
      </w:r>
    </w:p>
    <w:p w:rsidR="007C3CB4" w:rsidRDefault="007C3CB4" w:rsidP="000A2312">
      <w:pPr>
        <w:jc w:val="center"/>
        <w:rPr>
          <w:u w:val="none"/>
        </w:rPr>
      </w:pPr>
    </w:p>
    <w:p w:rsidR="007C3CB4" w:rsidRDefault="007C3CB4" w:rsidP="000A2312">
      <w:pPr>
        <w:jc w:val="center"/>
        <w:rPr>
          <w:u w:val="none"/>
        </w:rPr>
      </w:pPr>
    </w:p>
    <w:p w:rsidR="000A2312" w:rsidRPr="000A2312" w:rsidRDefault="007C3CB4" w:rsidP="000A2312">
      <w:pPr>
        <w:jc w:val="center"/>
        <w:rPr>
          <w:u w:val="none"/>
        </w:rPr>
      </w:pPr>
      <w:r>
        <w:rPr>
          <w:u w:val="none"/>
        </w:rPr>
        <w:t>Kimutatás a személyi sérüléses közúti közlekedési balesetekről a Móri Rendőrkapitányság (teljes) illetékességi területén.</w:t>
      </w:r>
    </w:p>
    <w:p w:rsidR="000A2312" w:rsidRDefault="000A2312" w:rsidP="000A2312">
      <w:pPr>
        <w:jc w:val="center"/>
        <w:rPr>
          <w:u w:val="none"/>
        </w:rPr>
      </w:pPr>
    </w:p>
    <w:p w:rsidR="000A2312" w:rsidRPr="000A2312" w:rsidRDefault="000A2312" w:rsidP="000A2312">
      <w:pPr>
        <w:jc w:val="center"/>
        <w:rPr>
          <w:u w:val="none"/>
        </w:rPr>
      </w:pPr>
    </w:p>
    <w:p w:rsidR="000A2312" w:rsidRPr="000A2312" w:rsidRDefault="000A2312" w:rsidP="000A2312">
      <w:pPr>
        <w:jc w:val="center"/>
        <w:rPr>
          <w:u w:val="none"/>
        </w:rPr>
      </w:pPr>
    </w:p>
    <w:tbl>
      <w:tblPr>
        <w:tblW w:w="12960" w:type="dxa"/>
        <w:tblInd w:w="610" w:type="dxa"/>
        <w:tblCellMar>
          <w:left w:w="70" w:type="dxa"/>
          <w:right w:w="70" w:type="dxa"/>
        </w:tblCellMar>
        <w:tblLook w:val="0000"/>
      </w:tblPr>
      <w:tblGrid>
        <w:gridCol w:w="6840"/>
        <w:gridCol w:w="720"/>
        <w:gridCol w:w="720"/>
        <w:gridCol w:w="720"/>
        <w:gridCol w:w="700"/>
        <w:gridCol w:w="700"/>
        <w:gridCol w:w="1300"/>
        <w:gridCol w:w="1260"/>
      </w:tblGrid>
      <w:tr w:rsidR="000A2312" w:rsidRPr="000A2312" w:rsidTr="000A2312">
        <w:trPr>
          <w:trHeight w:val="51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rPr>
                <w:color w:val="000000"/>
                <w:u w:val="none"/>
              </w:rPr>
            </w:pPr>
            <w:r w:rsidRPr="000A2312">
              <w:rPr>
                <w:color w:val="000000"/>
                <w:u w:val="none"/>
              </w:rPr>
              <w:t>Móri Rendőrkapitányság</w:t>
            </w:r>
          </w:p>
        </w:tc>
        <w:tc>
          <w:tcPr>
            <w:tcW w:w="720" w:type="dxa"/>
            <w:tcBorders>
              <w:top w:val="single" w:sz="4" w:space="0" w:color="33CCCC"/>
              <w:left w:val="single" w:sz="4" w:space="0" w:color="33CCCC"/>
              <w:bottom w:val="nil"/>
              <w:right w:val="single" w:sz="4" w:space="0" w:color="33CCCC"/>
            </w:tcBorders>
            <w:shd w:val="clear" w:color="auto" w:fill="99CCFF"/>
            <w:vAlign w:val="center"/>
          </w:tcPr>
          <w:p w:rsidR="000A2312" w:rsidRPr="000A2312" w:rsidRDefault="000A2312" w:rsidP="000A2312">
            <w:pPr>
              <w:jc w:val="center"/>
              <w:rPr>
                <w:color w:val="000000"/>
                <w:u w:val="none"/>
              </w:rPr>
            </w:pPr>
            <w:r w:rsidRPr="000A2312">
              <w:rPr>
                <w:color w:val="000000"/>
                <w:u w:val="none"/>
              </w:rPr>
              <w:t>2010</w:t>
            </w:r>
          </w:p>
        </w:tc>
        <w:tc>
          <w:tcPr>
            <w:tcW w:w="720" w:type="dxa"/>
            <w:tcBorders>
              <w:top w:val="single" w:sz="4" w:space="0" w:color="33CCCC"/>
              <w:left w:val="nil"/>
              <w:bottom w:val="nil"/>
              <w:right w:val="single" w:sz="4" w:space="0" w:color="33CCCC"/>
            </w:tcBorders>
            <w:shd w:val="clear" w:color="auto" w:fill="99CCFF"/>
            <w:vAlign w:val="center"/>
          </w:tcPr>
          <w:p w:rsidR="000A2312" w:rsidRPr="000A2312" w:rsidRDefault="000A2312" w:rsidP="000A2312">
            <w:pPr>
              <w:jc w:val="center"/>
              <w:rPr>
                <w:color w:val="000000"/>
                <w:u w:val="none"/>
              </w:rPr>
            </w:pPr>
            <w:r w:rsidRPr="000A2312">
              <w:rPr>
                <w:color w:val="000000"/>
                <w:u w:val="none"/>
              </w:rPr>
              <w:t>2011</w:t>
            </w:r>
          </w:p>
        </w:tc>
        <w:tc>
          <w:tcPr>
            <w:tcW w:w="720" w:type="dxa"/>
            <w:tcBorders>
              <w:top w:val="single" w:sz="4" w:space="0" w:color="33CCCC"/>
              <w:left w:val="nil"/>
              <w:bottom w:val="nil"/>
              <w:right w:val="single" w:sz="4" w:space="0" w:color="33CCCC"/>
            </w:tcBorders>
            <w:shd w:val="clear" w:color="auto" w:fill="99CCFF"/>
            <w:vAlign w:val="center"/>
          </w:tcPr>
          <w:p w:rsidR="000A2312" w:rsidRPr="000A2312" w:rsidRDefault="000A2312" w:rsidP="000A2312">
            <w:pPr>
              <w:jc w:val="center"/>
              <w:rPr>
                <w:color w:val="000000"/>
                <w:u w:val="none"/>
              </w:rPr>
            </w:pPr>
            <w:r w:rsidRPr="000A2312">
              <w:rPr>
                <w:color w:val="000000"/>
                <w:u w:val="none"/>
              </w:rPr>
              <w:t>2012</w:t>
            </w:r>
          </w:p>
        </w:tc>
        <w:tc>
          <w:tcPr>
            <w:tcW w:w="700" w:type="dxa"/>
            <w:tcBorders>
              <w:top w:val="single" w:sz="4" w:space="0" w:color="33CCCC"/>
              <w:left w:val="nil"/>
              <w:bottom w:val="nil"/>
              <w:right w:val="single" w:sz="4" w:space="0" w:color="33CCCC"/>
            </w:tcBorders>
            <w:shd w:val="clear" w:color="auto" w:fill="99CCFF"/>
            <w:vAlign w:val="center"/>
          </w:tcPr>
          <w:p w:rsidR="000A2312" w:rsidRPr="000A2312" w:rsidRDefault="000A2312" w:rsidP="000A2312">
            <w:pPr>
              <w:jc w:val="center"/>
              <w:rPr>
                <w:color w:val="000000"/>
                <w:u w:val="none"/>
              </w:rPr>
            </w:pPr>
            <w:r w:rsidRPr="000A2312">
              <w:rPr>
                <w:color w:val="000000"/>
                <w:u w:val="none"/>
              </w:rPr>
              <w:t>2013</w:t>
            </w:r>
          </w:p>
        </w:tc>
        <w:tc>
          <w:tcPr>
            <w:tcW w:w="700" w:type="dxa"/>
            <w:tcBorders>
              <w:top w:val="single" w:sz="4" w:space="0" w:color="33CCCC"/>
              <w:left w:val="nil"/>
              <w:bottom w:val="nil"/>
              <w:right w:val="single" w:sz="4" w:space="0" w:color="33CCCC"/>
            </w:tcBorders>
            <w:shd w:val="clear" w:color="auto" w:fill="99CCFF"/>
            <w:vAlign w:val="center"/>
          </w:tcPr>
          <w:p w:rsidR="000A2312" w:rsidRPr="000A2312" w:rsidRDefault="000A2312" w:rsidP="000A2312">
            <w:pPr>
              <w:jc w:val="center"/>
              <w:rPr>
                <w:color w:val="000000"/>
                <w:u w:val="none"/>
              </w:rPr>
            </w:pPr>
            <w:r w:rsidRPr="000A2312">
              <w:rPr>
                <w:color w:val="000000"/>
                <w:u w:val="none"/>
              </w:rPr>
              <w:t>2014</w:t>
            </w:r>
          </w:p>
        </w:tc>
        <w:tc>
          <w:tcPr>
            <w:tcW w:w="1300" w:type="dxa"/>
            <w:tcBorders>
              <w:top w:val="single" w:sz="4" w:space="0" w:color="33CCCC"/>
              <w:left w:val="nil"/>
              <w:bottom w:val="nil"/>
              <w:right w:val="single" w:sz="4" w:space="0" w:color="33CCCC"/>
            </w:tcBorders>
            <w:shd w:val="clear" w:color="auto" w:fill="FFCC99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Változás 2013-2014</w:t>
            </w:r>
          </w:p>
        </w:tc>
        <w:tc>
          <w:tcPr>
            <w:tcW w:w="1260" w:type="dxa"/>
            <w:tcBorders>
              <w:top w:val="single" w:sz="4" w:space="0" w:color="33CCCC"/>
              <w:left w:val="nil"/>
              <w:bottom w:val="nil"/>
              <w:right w:val="single" w:sz="4" w:space="0" w:color="33CCCC"/>
            </w:tcBorders>
            <w:shd w:val="clear" w:color="auto" w:fill="FFCC99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Dinamika 2013-2014</w:t>
            </w:r>
          </w:p>
        </w:tc>
      </w:tr>
      <w:tr w:rsidR="000A2312" w:rsidRPr="000A2312" w:rsidTr="000A2312">
        <w:trPr>
          <w:trHeight w:val="255"/>
        </w:trPr>
        <w:tc>
          <w:tcPr>
            <w:tcW w:w="6840" w:type="dxa"/>
            <w:tcBorders>
              <w:top w:val="single" w:sz="4" w:space="0" w:color="33CCCC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Személysérüléses közúti közlekedési balesetek száma</w:t>
            </w:r>
          </w:p>
        </w:tc>
        <w:tc>
          <w:tcPr>
            <w:tcW w:w="720" w:type="dxa"/>
            <w:tcBorders>
              <w:top w:val="single" w:sz="4" w:space="0" w:color="33CCCC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51</w:t>
            </w:r>
          </w:p>
        </w:tc>
        <w:tc>
          <w:tcPr>
            <w:tcW w:w="720" w:type="dxa"/>
            <w:tcBorders>
              <w:top w:val="single" w:sz="4" w:space="0" w:color="33CCCC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52</w:t>
            </w:r>
          </w:p>
        </w:tc>
        <w:tc>
          <w:tcPr>
            <w:tcW w:w="720" w:type="dxa"/>
            <w:tcBorders>
              <w:top w:val="single" w:sz="4" w:space="0" w:color="33CCCC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42</w:t>
            </w:r>
          </w:p>
        </w:tc>
        <w:tc>
          <w:tcPr>
            <w:tcW w:w="700" w:type="dxa"/>
            <w:tcBorders>
              <w:top w:val="single" w:sz="4" w:space="0" w:color="33CCCC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37 </w:t>
            </w:r>
          </w:p>
        </w:tc>
        <w:tc>
          <w:tcPr>
            <w:tcW w:w="700" w:type="dxa"/>
            <w:tcBorders>
              <w:top w:val="single" w:sz="4" w:space="0" w:color="33CCCC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34 </w:t>
            </w:r>
          </w:p>
        </w:tc>
        <w:tc>
          <w:tcPr>
            <w:tcW w:w="1300" w:type="dxa"/>
            <w:tcBorders>
              <w:top w:val="single" w:sz="4" w:space="0" w:color="33CCCC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-3</w:t>
            </w:r>
          </w:p>
        </w:tc>
        <w:tc>
          <w:tcPr>
            <w:tcW w:w="1260" w:type="dxa"/>
            <w:tcBorders>
              <w:top w:val="single" w:sz="4" w:space="0" w:color="33CCCC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91,89%</w:t>
            </w:r>
          </w:p>
        </w:tc>
      </w:tr>
      <w:tr w:rsidR="000A2312" w:rsidRPr="000A2312" w:rsidTr="000A2312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ind w:firstLineChars="500" w:firstLine="1200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-          Halálos közúti közlekedési balesetek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100% </w:t>
            </w:r>
          </w:p>
        </w:tc>
      </w:tr>
      <w:tr w:rsidR="000A2312" w:rsidRPr="000A2312" w:rsidTr="000A2312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ind w:firstLineChars="500" w:firstLine="1200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-          Súlyos sérüléses közúti közlekedési balesetek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77,78%</w:t>
            </w:r>
          </w:p>
        </w:tc>
      </w:tr>
      <w:tr w:rsidR="000A2312" w:rsidRPr="000A2312" w:rsidTr="000A2312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ind w:firstLineChars="500" w:firstLine="1200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-          Könnyű sérüléses közúti közlekedési balesetek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96,15%</w:t>
            </w:r>
          </w:p>
        </w:tc>
      </w:tr>
      <w:tr w:rsidR="000A2312" w:rsidRPr="000A2312" w:rsidTr="000A2312">
        <w:trPr>
          <w:trHeight w:val="510"/>
        </w:trPr>
        <w:tc>
          <w:tcPr>
            <w:tcW w:w="6840" w:type="dxa"/>
            <w:tcBorders>
              <w:top w:val="nil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Személysérüléses közúti közlekedési baleset során meghalt, illetve megsérült személyek száma (fő)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102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-16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71,43%</w:t>
            </w:r>
          </w:p>
        </w:tc>
      </w:tr>
      <w:tr w:rsidR="000A2312" w:rsidRPr="000A2312" w:rsidTr="000A2312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ind w:firstLineChars="500" w:firstLine="1200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-          Meghalt személyek száma (fő)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100%</w:t>
            </w:r>
          </w:p>
        </w:tc>
      </w:tr>
      <w:tr w:rsidR="000A2312" w:rsidRPr="000A2312" w:rsidTr="000A2312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ind w:firstLineChars="500" w:firstLine="1200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-          Súlyosan sérült személyek száma (fő)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90%</w:t>
            </w:r>
          </w:p>
        </w:tc>
      </w:tr>
      <w:tr w:rsidR="000A2312" w:rsidRPr="000A2312" w:rsidTr="000A2312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33CCCC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ind w:firstLineChars="500" w:firstLine="1200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-          Könnyen sérült személyek száma (fő)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 -15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3CCCC"/>
              <w:right w:val="single" w:sz="4" w:space="0" w:color="33CCCC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  <w:r w:rsidRPr="000A2312">
              <w:rPr>
                <w:b w:val="0"/>
                <w:bCs w:val="0"/>
                <w:color w:val="000000"/>
                <w:u w:val="none"/>
              </w:rPr>
              <w:t>65,91% </w:t>
            </w:r>
          </w:p>
        </w:tc>
      </w:tr>
      <w:tr w:rsidR="000A2312" w:rsidRPr="000A2312" w:rsidTr="000A2312">
        <w:trPr>
          <w:trHeight w:val="255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312" w:rsidRPr="000A2312" w:rsidRDefault="000A2312" w:rsidP="000A2312">
            <w:pPr>
              <w:jc w:val="center"/>
              <w:rPr>
                <w:b w:val="0"/>
                <w:bCs w:val="0"/>
                <w:color w:val="000000"/>
                <w:u w:val="none"/>
              </w:rPr>
            </w:pPr>
          </w:p>
        </w:tc>
      </w:tr>
    </w:tbl>
    <w:p w:rsidR="000A2312" w:rsidRPr="000A2312" w:rsidRDefault="000A2312" w:rsidP="000A2312">
      <w:pPr>
        <w:rPr>
          <w:u w:val="none"/>
        </w:rPr>
      </w:pPr>
    </w:p>
    <w:sectPr w:rsidR="000A2312" w:rsidRPr="000A2312" w:rsidSect="000A2312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44F" w:rsidRDefault="004C444F">
      <w:r>
        <w:separator/>
      </w:r>
    </w:p>
  </w:endnote>
  <w:endnote w:type="continuationSeparator" w:id="1">
    <w:p w:rsidR="004C444F" w:rsidRDefault="004C44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44F" w:rsidRDefault="004C444F">
      <w:r>
        <w:separator/>
      </w:r>
    </w:p>
  </w:footnote>
  <w:footnote w:type="continuationSeparator" w:id="1">
    <w:p w:rsidR="004C444F" w:rsidRDefault="004C44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B4" w:rsidRPr="007C3CB4" w:rsidRDefault="007C3CB4" w:rsidP="007C3CB4">
    <w:pPr>
      <w:pStyle w:val="lfej"/>
      <w:jc w:val="right"/>
      <w:rPr>
        <w:u w:val="none"/>
      </w:rPr>
    </w:pPr>
    <w:r w:rsidRPr="007C3CB4">
      <w:rPr>
        <w:u w:val="none"/>
      </w:rPr>
      <w:t>3. számú melléklet.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2312"/>
    <w:rsid w:val="000A2312"/>
    <w:rsid w:val="00444B25"/>
    <w:rsid w:val="004B48E8"/>
    <w:rsid w:val="004C444F"/>
    <w:rsid w:val="006D7468"/>
    <w:rsid w:val="007C3CB4"/>
    <w:rsid w:val="00A20F94"/>
    <w:rsid w:val="00BB1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b/>
      <w:bCs/>
      <w:sz w:val="24"/>
      <w:szCs w:val="24"/>
      <w:u w:val="single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rsid w:val="007C3C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7C3CB4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6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Közúti közlekedési baleset adatok</vt:lpstr>
    </vt:vector>
  </TitlesOfParts>
  <Company>FMRFK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Közúti közlekedési baleset adatok</dc:title>
  <dc:creator>COMPAQ REBORN</dc:creator>
  <cp:lastModifiedBy>Kri</cp:lastModifiedBy>
  <cp:revision>2</cp:revision>
  <cp:lastPrinted>2015-03-12T14:55:00Z</cp:lastPrinted>
  <dcterms:created xsi:type="dcterms:W3CDTF">2015-03-19T15:26:00Z</dcterms:created>
  <dcterms:modified xsi:type="dcterms:W3CDTF">2015-03-19T15:26:00Z</dcterms:modified>
</cp:coreProperties>
</file>