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C14" w:rsidRPr="00187AF7" w:rsidRDefault="00057040" w:rsidP="001D2C14">
      <w:pPr>
        <w:keepNext/>
        <w:tabs>
          <w:tab w:val="left" w:pos="567"/>
        </w:tabs>
        <w:suppressAutoHyphens w:val="0"/>
        <w:jc w:val="center"/>
        <w:rPr>
          <w:rFonts w:asciiTheme="minorHAnsi" w:hAnsiTheme="minorHAnsi" w:cs="Calibri"/>
          <w:b/>
          <w:snapToGrid w:val="0"/>
          <w:sz w:val="22"/>
          <w:szCs w:val="22"/>
          <w:lang w:val="cs-CZ" w:eastAsia="hu-HU"/>
        </w:rPr>
      </w:pPr>
      <w:r w:rsidRPr="00187AF7">
        <w:rPr>
          <w:rFonts w:asciiTheme="minorHAnsi" w:hAnsiTheme="minorHAnsi" w:cs="Calibri"/>
          <w:b/>
          <w:snapToGrid w:val="0"/>
          <w:sz w:val="22"/>
          <w:szCs w:val="22"/>
          <w:lang w:val="cs-CZ" w:eastAsia="hu-HU"/>
        </w:rPr>
        <w:t>Szerződésmódosítás</w:t>
      </w:r>
    </w:p>
    <w:p w:rsidR="001D2C14" w:rsidRPr="00187AF7" w:rsidRDefault="001B4A55" w:rsidP="001D2C14">
      <w:pPr>
        <w:jc w:val="center"/>
        <w:rPr>
          <w:rFonts w:asciiTheme="minorHAnsi" w:eastAsia="Arial Unicode MS" w:hAnsiTheme="minorHAnsi"/>
          <w:b/>
          <w:sz w:val="22"/>
          <w:szCs w:val="22"/>
        </w:rPr>
      </w:pPr>
      <w:r w:rsidRPr="00187AF7">
        <w:rPr>
          <w:rFonts w:asciiTheme="minorHAnsi" w:hAnsiTheme="minorHAnsi" w:cs="Calibri"/>
          <w:b/>
          <w:i/>
          <w:snapToGrid w:val="0"/>
          <w:sz w:val="22"/>
          <w:szCs w:val="22"/>
          <w:lang w:val="cs-CZ" w:eastAsia="hu-HU"/>
        </w:rPr>
        <w:t>KEOP-5.7.0/15-2015-01</w:t>
      </w:r>
      <w:r w:rsidR="00187AF7">
        <w:rPr>
          <w:rFonts w:asciiTheme="minorHAnsi" w:hAnsiTheme="minorHAnsi" w:cs="Calibri"/>
          <w:b/>
          <w:i/>
          <w:snapToGrid w:val="0"/>
          <w:sz w:val="22"/>
          <w:szCs w:val="22"/>
          <w:lang w:val="cs-CZ" w:eastAsia="hu-HU"/>
        </w:rPr>
        <w:t>15</w:t>
      </w:r>
    </w:p>
    <w:p w:rsidR="001B4A55" w:rsidRPr="00187AF7" w:rsidRDefault="001B4A55" w:rsidP="001D2C14">
      <w:pPr>
        <w:spacing w:after="120"/>
        <w:jc w:val="both"/>
        <w:rPr>
          <w:rFonts w:asciiTheme="minorHAnsi" w:eastAsia="Arial Unicode MS" w:hAnsiTheme="minorHAnsi" w:cs="Garamond"/>
          <w:sz w:val="22"/>
          <w:szCs w:val="22"/>
        </w:rPr>
      </w:pPr>
    </w:p>
    <w:p w:rsidR="00C55B93" w:rsidRPr="00187AF7" w:rsidRDefault="00C55B93" w:rsidP="00C55B93">
      <w:pPr>
        <w:spacing w:after="120"/>
        <w:jc w:val="both"/>
        <w:rPr>
          <w:rFonts w:asciiTheme="minorHAnsi" w:eastAsia="Arial Unicode MS" w:hAnsiTheme="minorHAnsi" w:cs="Garamond"/>
          <w:sz w:val="22"/>
          <w:szCs w:val="22"/>
        </w:rPr>
      </w:pPr>
      <w:proofErr w:type="gramStart"/>
      <w:r w:rsidRPr="00187AF7">
        <w:rPr>
          <w:rFonts w:asciiTheme="minorHAnsi" w:eastAsia="Arial Unicode MS" w:hAnsiTheme="minorHAnsi" w:cs="Garamond"/>
          <w:sz w:val="22"/>
          <w:szCs w:val="22"/>
        </w:rPr>
        <w:t>amely</w:t>
      </w:r>
      <w:proofErr w:type="gramEnd"/>
      <w:r w:rsidRPr="00187AF7">
        <w:rPr>
          <w:rFonts w:asciiTheme="minorHAnsi" w:eastAsia="Arial Unicode MS" w:hAnsiTheme="minorHAnsi" w:cs="Garamond"/>
          <w:sz w:val="22"/>
          <w:szCs w:val="22"/>
        </w:rPr>
        <w:t xml:space="preserve"> létrejött egyrészről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hAnsi="Calibri" w:cs="Calibri"/>
          <w:b/>
          <w:sz w:val="22"/>
          <w:szCs w:val="22"/>
          <w:lang w:eastAsia="hu-HU"/>
        </w:rPr>
        <w:t>Bakonycsernye Község Önkormányzata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eastAsia="Calibri" w:hAnsi="Calibri"/>
          <w:iCs/>
          <w:sz w:val="22"/>
          <w:szCs w:val="22"/>
          <w:lang w:eastAsia="hu-HU"/>
        </w:rPr>
        <w:t xml:space="preserve">Székhely: </w:t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  <w:t>8056 Bakonycsernye, Rákóczi út 83.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eastAsia="Calibri" w:hAnsi="Calibri"/>
          <w:iCs/>
          <w:sz w:val="22"/>
          <w:szCs w:val="22"/>
          <w:lang w:eastAsia="hu-HU"/>
        </w:rPr>
        <w:t>Adószám:</w:t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  <w:t>15727237-2-07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eastAsia="Calibri" w:hAnsi="Calibri"/>
          <w:iCs/>
          <w:sz w:val="22"/>
          <w:szCs w:val="22"/>
          <w:lang w:eastAsia="hu-HU"/>
        </w:rPr>
        <w:t>KSH Statisztikai számjel:</w:t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  <w:t>15727237-8411-321-07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eastAsia="Calibri" w:hAnsi="Calibri"/>
          <w:iCs/>
          <w:sz w:val="22"/>
          <w:szCs w:val="22"/>
          <w:lang w:eastAsia="hu-HU"/>
        </w:rPr>
        <w:t xml:space="preserve">Államháztartási egyedi azonosító: </w:t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  <w:t>736833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Calibri" w:hAnsi="Calibri"/>
          <w:iCs/>
          <w:sz w:val="22"/>
          <w:szCs w:val="22"/>
          <w:lang w:eastAsia="hu-HU"/>
        </w:rPr>
      </w:pPr>
      <w:r w:rsidRPr="00187AF7">
        <w:rPr>
          <w:rFonts w:ascii="Calibri" w:eastAsia="Calibri" w:hAnsi="Calibri"/>
          <w:iCs/>
          <w:sz w:val="22"/>
          <w:szCs w:val="22"/>
          <w:lang w:eastAsia="hu-HU"/>
        </w:rPr>
        <w:t xml:space="preserve">Képviselő neve: </w:t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</w:r>
      <w:r w:rsidRPr="00187AF7">
        <w:rPr>
          <w:rFonts w:ascii="Calibri" w:eastAsia="Calibri" w:hAnsi="Calibri"/>
          <w:iCs/>
          <w:sz w:val="22"/>
          <w:szCs w:val="22"/>
          <w:lang w:eastAsia="hu-HU"/>
        </w:rPr>
        <w:tab/>
        <w:t>Turi Balázs polgármester</w:t>
      </w:r>
    </w:p>
    <w:p w:rsidR="00187AF7" w:rsidRPr="00187AF7" w:rsidRDefault="00187AF7" w:rsidP="00187AF7">
      <w:pPr>
        <w:rPr>
          <w:rFonts w:ascii="Calibri" w:eastAsia="Arial Unicode MS" w:hAnsi="Calibri" w:cs="Garamond"/>
          <w:sz w:val="22"/>
          <w:szCs w:val="22"/>
        </w:rPr>
      </w:pPr>
      <w:proofErr w:type="gramStart"/>
      <w:r w:rsidRPr="00187AF7">
        <w:rPr>
          <w:rFonts w:ascii="Calibri" w:eastAsia="Arial Unicode MS" w:hAnsi="Calibri" w:cs="Garamond"/>
          <w:sz w:val="22"/>
          <w:szCs w:val="22"/>
        </w:rPr>
        <w:t>mint</w:t>
      </w:r>
      <w:proofErr w:type="gramEnd"/>
      <w:r w:rsidRPr="00187AF7">
        <w:rPr>
          <w:rFonts w:ascii="Calibri" w:eastAsia="Arial Unicode MS" w:hAnsi="Calibri" w:cs="Garamond"/>
          <w:sz w:val="22"/>
          <w:szCs w:val="22"/>
        </w:rPr>
        <w:t xml:space="preserve"> megrendelő (a továbbiakban : </w:t>
      </w:r>
      <w:r w:rsidRPr="00187AF7">
        <w:rPr>
          <w:rFonts w:ascii="Calibri" w:eastAsia="Arial Unicode MS" w:hAnsi="Calibri" w:cs="Garamond"/>
          <w:b/>
          <w:bCs/>
          <w:sz w:val="22"/>
          <w:szCs w:val="22"/>
        </w:rPr>
        <w:t>Megrendelő</w:t>
      </w:r>
      <w:r w:rsidRPr="00187AF7">
        <w:rPr>
          <w:rFonts w:ascii="Calibri" w:eastAsia="Arial Unicode MS" w:hAnsi="Calibri" w:cs="Garamond"/>
          <w:sz w:val="22"/>
          <w:szCs w:val="22"/>
        </w:rPr>
        <w:t>)</w:t>
      </w:r>
    </w:p>
    <w:p w:rsidR="00187AF7" w:rsidRPr="00187AF7" w:rsidRDefault="00187AF7" w:rsidP="00187AF7">
      <w:pPr>
        <w:tabs>
          <w:tab w:val="left" w:pos="3402"/>
        </w:tabs>
        <w:ind w:left="3402" w:hanging="3402"/>
        <w:rPr>
          <w:rFonts w:ascii="Calibri" w:hAnsi="Calibri" w:cs="Garamond"/>
          <w:sz w:val="22"/>
          <w:szCs w:val="22"/>
        </w:rPr>
      </w:pPr>
    </w:p>
    <w:p w:rsidR="00187AF7" w:rsidRPr="00187AF7" w:rsidRDefault="00187AF7" w:rsidP="00187AF7">
      <w:pPr>
        <w:tabs>
          <w:tab w:val="left" w:pos="3402"/>
        </w:tabs>
        <w:ind w:left="3402" w:hanging="3402"/>
        <w:rPr>
          <w:rFonts w:ascii="Calibri" w:hAnsi="Calibri" w:cs="Garamond"/>
          <w:sz w:val="22"/>
          <w:szCs w:val="22"/>
        </w:rPr>
      </w:pPr>
      <w:r w:rsidRPr="00187AF7">
        <w:rPr>
          <w:rFonts w:ascii="Calibri" w:hAnsi="Calibri" w:cs="Garamond"/>
          <w:sz w:val="22"/>
          <w:szCs w:val="22"/>
        </w:rPr>
        <w:t xml:space="preserve">másrészről </w:t>
      </w:r>
      <w:proofErr w:type="gramStart"/>
      <w:r w:rsidRPr="00187AF7">
        <w:rPr>
          <w:rFonts w:ascii="Calibri" w:hAnsi="Calibri" w:cs="Garamond"/>
          <w:sz w:val="22"/>
          <w:szCs w:val="22"/>
        </w:rPr>
        <w:t>a</w:t>
      </w:r>
      <w:proofErr w:type="gramEnd"/>
      <w:r w:rsidRPr="00187AF7">
        <w:rPr>
          <w:rFonts w:ascii="Calibri" w:hAnsi="Calibri" w:cs="Garamond"/>
          <w:sz w:val="22"/>
          <w:szCs w:val="22"/>
        </w:rPr>
        <w:tab/>
      </w:r>
    </w:p>
    <w:p w:rsidR="00187AF7" w:rsidRPr="00187AF7" w:rsidRDefault="00187AF7" w:rsidP="00187AF7">
      <w:pPr>
        <w:rPr>
          <w:rFonts w:ascii="Calibri" w:hAnsi="Calibri" w:cs="Garamond"/>
          <w:b/>
          <w:bCs/>
          <w:sz w:val="22"/>
          <w:szCs w:val="22"/>
        </w:rPr>
      </w:pPr>
    </w:p>
    <w:p w:rsidR="00187AF7" w:rsidRPr="00187AF7" w:rsidRDefault="00187AF7" w:rsidP="00187AF7">
      <w:pPr>
        <w:rPr>
          <w:rFonts w:ascii="Calibri" w:hAnsi="Calibri" w:cs="Garamond"/>
          <w:b/>
          <w:sz w:val="22"/>
          <w:szCs w:val="22"/>
        </w:rPr>
      </w:pPr>
      <w:r w:rsidRPr="00187AF7">
        <w:rPr>
          <w:rFonts w:ascii="Calibri" w:hAnsi="Calibri" w:cs="Garamond"/>
          <w:b/>
          <w:sz w:val="22"/>
          <w:szCs w:val="22"/>
        </w:rPr>
        <w:t xml:space="preserve">DNA </w:t>
      </w:r>
      <w:proofErr w:type="spellStart"/>
      <w:r w:rsidRPr="00187AF7">
        <w:rPr>
          <w:rFonts w:ascii="Calibri" w:hAnsi="Calibri" w:cs="Garamond"/>
          <w:b/>
          <w:sz w:val="22"/>
          <w:szCs w:val="22"/>
        </w:rPr>
        <w:t>Development</w:t>
      </w:r>
      <w:proofErr w:type="spellEnd"/>
      <w:r w:rsidRPr="00187AF7">
        <w:rPr>
          <w:rFonts w:ascii="Calibri" w:hAnsi="Calibri" w:cs="Garamond"/>
          <w:b/>
          <w:sz w:val="22"/>
          <w:szCs w:val="22"/>
        </w:rPr>
        <w:t xml:space="preserve"> Kft.</w:t>
      </w:r>
    </w:p>
    <w:p w:rsidR="00187AF7" w:rsidRPr="00187AF7" w:rsidRDefault="00187AF7" w:rsidP="00187AF7">
      <w:pPr>
        <w:rPr>
          <w:rFonts w:ascii="Calibri" w:hAnsi="Calibri" w:cs="Garamond"/>
          <w:bCs/>
          <w:sz w:val="22"/>
          <w:szCs w:val="22"/>
        </w:rPr>
      </w:pPr>
      <w:r w:rsidRPr="00187AF7">
        <w:rPr>
          <w:rFonts w:ascii="Calibri" w:hAnsi="Calibri" w:cs="Garamond"/>
          <w:bCs/>
          <w:sz w:val="22"/>
          <w:szCs w:val="22"/>
        </w:rPr>
        <w:t xml:space="preserve">Székhelye: </w:t>
      </w:r>
      <w:r w:rsidRPr="00187AF7">
        <w:rPr>
          <w:rFonts w:ascii="Calibri" w:hAnsi="Calibri" w:cs="Garamond"/>
          <w:bCs/>
          <w:sz w:val="22"/>
          <w:szCs w:val="22"/>
        </w:rPr>
        <w:tab/>
      </w:r>
      <w:r w:rsidRPr="00187AF7">
        <w:rPr>
          <w:rFonts w:ascii="Calibri" w:hAnsi="Calibri" w:cs="Garamond"/>
          <w:bCs/>
          <w:sz w:val="22"/>
          <w:szCs w:val="22"/>
        </w:rPr>
        <w:tab/>
      </w:r>
      <w:r w:rsidRPr="00187AF7">
        <w:rPr>
          <w:rFonts w:ascii="Calibri" w:hAnsi="Calibri" w:cs="Garamond"/>
          <w:bCs/>
          <w:sz w:val="22"/>
          <w:szCs w:val="22"/>
        </w:rPr>
        <w:tab/>
      </w:r>
      <w:r w:rsidRPr="00187AF7">
        <w:rPr>
          <w:rFonts w:ascii="Calibri" w:hAnsi="Calibri" w:cs="Garamond"/>
          <w:bCs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 xml:space="preserve">8000 Székesfehérvár, Poprádi u. 44. </w:t>
      </w:r>
      <w:proofErr w:type="gramStart"/>
      <w:r w:rsidRPr="00187AF7">
        <w:rPr>
          <w:rFonts w:ascii="Calibri" w:hAnsi="Calibri" w:cs="Garamond"/>
          <w:sz w:val="22"/>
          <w:szCs w:val="22"/>
        </w:rPr>
        <w:t>A.</w:t>
      </w:r>
      <w:proofErr w:type="gramEnd"/>
      <w:r w:rsidRPr="00187AF7">
        <w:rPr>
          <w:rFonts w:ascii="Calibri" w:hAnsi="Calibri" w:cs="Garamond"/>
          <w:sz w:val="22"/>
          <w:szCs w:val="22"/>
        </w:rPr>
        <w:t xml:space="preserve"> </w:t>
      </w:r>
      <w:proofErr w:type="gramStart"/>
      <w:r w:rsidRPr="00187AF7">
        <w:rPr>
          <w:rFonts w:ascii="Calibri" w:hAnsi="Calibri" w:cs="Garamond"/>
          <w:sz w:val="22"/>
          <w:szCs w:val="22"/>
        </w:rPr>
        <w:t>ép</w:t>
      </w:r>
      <w:proofErr w:type="gramEnd"/>
      <w:r w:rsidRPr="00187AF7">
        <w:rPr>
          <w:rFonts w:ascii="Calibri" w:hAnsi="Calibri" w:cs="Garamond"/>
          <w:sz w:val="22"/>
          <w:szCs w:val="22"/>
        </w:rPr>
        <w:t>.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Arial Unicode MS" w:hAnsi="Calibri"/>
          <w:sz w:val="22"/>
          <w:szCs w:val="22"/>
        </w:rPr>
      </w:pPr>
      <w:r w:rsidRPr="00187AF7">
        <w:rPr>
          <w:rFonts w:ascii="Calibri" w:hAnsi="Calibri" w:cs="Garamond"/>
          <w:sz w:val="22"/>
          <w:szCs w:val="22"/>
        </w:rPr>
        <w:t xml:space="preserve">Adószám: </w:t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  <w:t>23080728-2-07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Arial Unicode MS" w:hAnsi="Calibri"/>
          <w:sz w:val="22"/>
          <w:szCs w:val="22"/>
        </w:rPr>
      </w:pPr>
      <w:r w:rsidRPr="00187AF7">
        <w:rPr>
          <w:rFonts w:ascii="Calibri" w:hAnsi="Calibri" w:cs="Garamond"/>
          <w:sz w:val="22"/>
          <w:szCs w:val="22"/>
        </w:rPr>
        <w:t xml:space="preserve">Pénzforgalmi számlaszáma: </w:t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  <w:t>10918001-00000099-11160009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Arial Unicode MS" w:hAnsi="Calibri"/>
          <w:sz w:val="22"/>
          <w:szCs w:val="22"/>
        </w:rPr>
      </w:pPr>
      <w:r w:rsidRPr="00187AF7">
        <w:rPr>
          <w:rFonts w:ascii="Calibri" w:hAnsi="Calibri" w:cs="Garamond"/>
          <w:sz w:val="22"/>
          <w:szCs w:val="22"/>
        </w:rPr>
        <w:t xml:space="preserve">Cégjegyzékszám: </w:t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  <w:t>07-09-019634</w:t>
      </w:r>
    </w:p>
    <w:p w:rsidR="00187AF7" w:rsidRPr="00187AF7" w:rsidRDefault="00187AF7" w:rsidP="00187AF7">
      <w:pPr>
        <w:ind w:left="360" w:hanging="360"/>
        <w:jc w:val="both"/>
        <w:rPr>
          <w:rFonts w:ascii="Calibri" w:eastAsia="Arial Unicode MS" w:hAnsi="Calibri"/>
          <w:sz w:val="22"/>
          <w:szCs w:val="22"/>
        </w:rPr>
      </w:pPr>
      <w:r w:rsidRPr="00187AF7">
        <w:rPr>
          <w:rFonts w:ascii="Calibri" w:hAnsi="Calibri" w:cs="Garamond"/>
          <w:sz w:val="22"/>
          <w:szCs w:val="22"/>
        </w:rPr>
        <w:t xml:space="preserve">Képviselő neve: </w:t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</w:r>
      <w:r w:rsidRPr="00187AF7">
        <w:rPr>
          <w:rFonts w:ascii="Calibri" w:hAnsi="Calibri" w:cs="Garamond"/>
          <w:sz w:val="22"/>
          <w:szCs w:val="22"/>
        </w:rPr>
        <w:tab/>
      </w:r>
      <w:proofErr w:type="spellStart"/>
      <w:r w:rsidRPr="00187AF7">
        <w:rPr>
          <w:rFonts w:ascii="Calibri" w:hAnsi="Calibri" w:cs="Garamond"/>
          <w:sz w:val="22"/>
          <w:szCs w:val="22"/>
        </w:rPr>
        <w:t>Suralik</w:t>
      </w:r>
      <w:proofErr w:type="spellEnd"/>
      <w:r w:rsidRPr="00187AF7">
        <w:rPr>
          <w:rFonts w:ascii="Calibri" w:hAnsi="Calibri" w:cs="Garamond"/>
          <w:sz w:val="22"/>
          <w:szCs w:val="22"/>
        </w:rPr>
        <w:t xml:space="preserve"> Attila</w:t>
      </w:r>
      <w:bookmarkStart w:id="0" w:name="_GoBack"/>
      <w:bookmarkEnd w:id="0"/>
    </w:p>
    <w:p w:rsidR="00187AF7" w:rsidRPr="00187AF7" w:rsidRDefault="00187AF7" w:rsidP="00187AF7">
      <w:pPr>
        <w:jc w:val="both"/>
        <w:rPr>
          <w:rFonts w:ascii="Calibri" w:hAnsi="Calibri" w:cs="Garamond"/>
          <w:sz w:val="22"/>
          <w:szCs w:val="22"/>
        </w:rPr>
      </w:pPr>
      <w:proofErr w:type="gramStart"/>
      <w:r w:rsidRPr="00187AF7">
        <w:rPr>
          <w:rFonts w:ascii="Calibri" w:hAnsi="Calibri" w:cs="Garamond"/>
          <w:sz w:val="22"/>
          <w:szCs w:val="22"/>
        </w:rPr>
        <w:t>mint</w:t>
      </w:r>
      <w:proofErr w:type="gramEnd"/>
      <w:r w:rsidRPr="00187AF7">
        <w:rPr>
          <w:rFonts w:ascii="Calibri" w:hAnsi="Calibri" w:cs="Garamond"/>
          <w:sz w:val="22"/>
          <w:szCs w:val="22"/>
        </w:rPr>
        <w:t xml:space="preserve"> vállalkozó (a továbbiakban: „</w:t>
      </w:r>
      <w:r w:rsidRPr="00187AF7">
        <w:rPr>
          <w:rFonts w:ascii="Calibri" w:hAnsi="Calibri" w:cs="Garamond"/>
          <w:b/>
          <w:bCs/>
          <w:sz w:val="22"/>
          <w:szCs w:val="22"/>
        </w:rPr>
        <w:t>Vállalkozó</w:t>
      </w:r>
      <w:r w:rsidRPr="00187AF7">
        <w:rPr>
          <w:rFonts w:ascii="Calibri" w:hAnsi="Calibri" w:cs="Garamond"/>
          <w:sz w:val="22"/>
          <w:szCs w:val="22"/>
        </w:rPr>
        <w:t>”),</w:t>
      </w:r>
    </w:p>
    <w:p w:rsidR="001D2C14" w:rsidRPr="00187AF7" w:rsidRDefault="001D2C14" w:rsidP="001D2C14">
      <w:pPr>
        <w:jc w:val="both"/>
        <w:rPr>
          <w:rFonts w:asciiTheme="minorHAnsi" w:hAnsiTheme="minorHAnsi" w:cs="Garamond"/>
          <w:sz w:val="22"/>
          <w:szCs w:val="22"/>
        </w:rPr>
      </w:pPr>
    </w:p>
    <w:p w:rsidR="001D2C14" w:rsidRPr="00187AF7" w:rsidRDefault="001D2C14" w:rsidP="001D2C14">
      <w:pPr>
        <w:jc w:val="both"/>
        <w:rPr>
          <w:rFonts w:asciiTheme="minorHAnsi" w:hAnsiTheme="minorHAnsi" w:cs="Garamond"/>
          <w:sz w:val="22"/>
          <w:szCs w:val="22"/>
          <w:lang w:val="cs-CZ"/>
        </w:rPr>
      </w:pPr>
      <w:proofErr w:type="gramStart"/>
      <w:r w:rsidRPr="00187AF7">
        <w:rPr>
          <w:rFonts w:asciiTheme="minorHAnsi" w:hAnsiTheme="minorHAnsi" w:cs="Garamond"/>
          <w:sz w:val="22"/>
          <w:szCs w:val="22"/>
        </w:rPr>
        <w:t>a</w:t>
      </w:r>
      <w:proofErr w:type="gramEnd"/>
      <w:r w:rsidRPr="00187AF7">
        <w:rPr>
          <w:rFonts w:asciiTheme="minorHAnsi" w:hAnsiTheme="minorHAnsi" w:cs="Garamond"/>
          <w:sz w:val="22"/>
          <w:szCs w:val="22"/>
        </w:rPr>
        <w:t xml:space="preserve"> továbbiakban, mint </w:t>
      </w:r>
      <w:r w:rsidRPr="00187AF7">
        <w:rPr>
          <w:rFonts w:asciiTheme="minorHAnsi" w:hAnsiTheme="minorHAnsi" w:cs="Garamond"/>
          <w:b/>
          <w:bCs/>
          <w:sz w:val="22"/>
          <w:szCs w:val="22"/>
        </w:rPr>
        <w:t>Felek</w:t>
      </w:r>
      <w:r w:rsidRPr="00187AF7">
        <w:rPr>
          <w:rFonts w:asciiTheme="minorHAnsi" w:hAnsiTheme="minorHAnsi" w:cs="Garamond"/>
          <w:sz w:val="22"/>
          <w:szCs w:val="22"/>
          <w:lang w:val="cs-CZ"/>
        </w:rPr>
        <w:t>között az alulírott helyen és időb</w:t>
      </w:r>
      <w:r w:rsidR="008F64C6" w:rsidRPr="00187AF7">
        <w:rPr>
          <w:rFonts w:asciiTheme="minorHAnsi" w:hAnsiTheme="minorHAnsi" w:cs="Garamond"/>
          <w:sz w:val="22"/>
          <w:szCs w:val="22"/>
          <w:lang w:val="cs-CZ"/>
        </w:rPr>
        <w:t xml:space="preserve">en az alábbi feltételek szerint. </w:t>
      </w:r>
    </w:p>
    <w:p w:rsidR="001D2C14" w:rsidRPr="00187AF7" w:rsidRDefault="001D2C14" w:rsidP="001D2C14">
      <w:pPr>
        <w:rPr>
          <w:rFonts w:asciiTheme="minorHAnsi" w:hAnsiTheme="minorHAnsi" w:cs="Garamond"/>
          <w:sz w:val="22"/>
          <w:szCs w:val="22"/>
        </w:rPr>
      </w:pPr>
    </w:p>
    <w:p w:rsidR="008667F2" w:rsidRPr="00187AF7" w:rsidRDefault="001D2C14" w:rsidP="001D2C14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Megrendelő, mint </w:t>
      </w:r>
      <w:r w:rsidR="005F2AF2" w:rsidRPr="00187AF7">
        <w:rPr>
          <w:rFonts w:asciiTheme="minorHAnsi" w:hAnsiTheme="minorHAnsi" w:cs="Garamond"/>
          <w:sz w:val="22"/>
          <w:szCs w:val="22"/>
        </w:rPr>
        <w:t>a</w:t>
      </w:r>
      <w:r w:rsidRPr="00187AF7">
        <w:rPr>
          <w:rFonts w:asciiTheme="minorHAnsi" w:hAnsiTheme="minorHAnsi" w:cs="Garamond"/>
          <w:sz w:val="22"/>
          <w:szCs w:val="22"/>
        </w:rPr>
        <w:t xml:space="preserve">jánlatkérő a közbeszerzésekről szóló 2011. évi CVIII törvényben (a továbbiakban: Kbt.) foglalt kötelezettsége alapján közbeszerzési eljárást folytatott le </w:t>
      </w:r>
      <w:r w:rsidR="00187AF7" w:rsidRPr="00187AF7">
        <w:rPr>
          <w:rFonts w:asciiTheme="minorHAnsi" w:hAnsiTheme="minorHAnsi" w:cs="Garamond"/>
          <w:b/>
          <w:i/>
          <w:sz w:val="22"/>
          <w:szCs w:val="22"/>
        </w:rPr>
        <w:t>„Bakonycsernye Község Önkormányzata KEOP-2015-5.7.0 „Középületek kiemelt jelentőségű épületenergetikai fejlesztése” című pályázati konstrukcióra vonatkozóan benyújtott pályázata keretében építés-kivitelezési munkák elvégzése.”</w:t>
      </w:r>
      <w:r w:rsidRPr="00187AF7">
        <w:rPr>
          <w:rFonts w:asciiTheme="minorHAnsi" w:hAnsiTheme="minorHAnsi" w:cs="Garamond"/>
          <w:sz w:val="22"/>
          <w:szCs w:val="22"/>
        </w:rPr>
        <w:t>tárgyában. Az ajánlatkérő a közbeszerzési eljárás nyertesének Vállalkozót jelölte meg az ajánlatok elbírálásáról készített írásbeli összegezés</w:t>
      </w:r>
      <w:r w:rsidR="008667F2" w:rsidRPr="00187AF7">
        <w:rPr>
          <w:rFonts w:asciiTheme="minorHAnsi" w:hAnsiTheme="minorHAnsi" w:cs="Garamond"/>
          <w:sz w:val="22"/>
          <w:szCs w:val="22"/>
        </w:rPr>
        <w:t>ben. Ezt követően a felek 201</w:t>
      </w:r>
      <w:r w:rsidR="005B6487" w:rsidRPr="00187AF7">
        <w:rPr>
          <w:rFonts w:asciiTheme="minorHAnsi" w:hAnsiTheme="minorHAnsi" w:cs="Garamond"/>
          <w:sz w:val="22"/>
          <w:szCs w:val="22"/>
        </w:rPr>
        <w:t xml:space="preserve">5. augusztus </w:t>
      </w:r>
      <w:r w:rsidR="009811CF" w:rsidRPr="00187AF7">
        <w:rPr>
          <w:rFonts w:asciiTheme="minorHAnsi" w:hAnsiTheme="minorHAnsi" w:cs="Garamond"/>
          <w:sz w:val="22"/>
          <w:szCs w:val="22"/>
        </w:rPr>
        <w:t>11</w:t>
      </w:r>
      <w:r w:rsidR="005B6487" w:rsidRPr="00187AF7">
        <w:rPr>
          <w:rFonts w:asciiTheme="minorHAnsi" w:hAnsiTheme="minorHAnsi" w:cs="Garamond"/>
          <w:sz w:val="22"/>
          <w:szCs w:val="22"/>
        </w:rPr>
        <w:t xml:space="preserve">. </w:t>
      </w:r>
      <w:r w:rsidRPr="00187AF7">
        <w:rPr>
          <w:rFonts w:asciiTheme="minorHAnsi" w:hAnsiTheme="minorHAnsi" w:cs="Garamond"/>
          <w:sz w:val="22"/>
          <w:szCs w:val="22"/>
        </w:rPr>
        <w:t>napján vállalkozási szerződést kötöttek</w:t>
      </w:r>
      <w:r w:rsidR="008667F2" w:rsidRPr="00187AF7">
        <w:rPr>
          <w:rFonts w:asciiTheme="minorHAnsi" w:hAnsiTheme="minorHAnsi" w:cs="Garamond"/>
          <w:sz w:val="22"/>
          <w:szCs w:val="22"/>
        </w:rPr>
        <w:t xml:space="preserve">. </w:t>
      </w:r>
    </w:p>
    <w:p w:rsidR="001D2C14" w:rsidRPr="00187AF7" w:rsidRDefault="001D2C14" w:rsidP="001D2C14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A Miniszterelnökség, mint támogató szervezet 2015. szeptember 25-én közleményt tett közzé honlapján, mely szerint módosult a „Középületek kiemelt jelentőségű épületenergetikai fejlesztése” című (KEOP-2015-5.7.0 kódszámú) kiemelt felhívás, melynek célja a kiemelt jelentőségű középületek épületenergetikai fejlesztéseinek támogatása. </w:t>
      </w:r>
    </w:p>
    <w:p w:rsidR="00B64C73" w:rsidRPr="00187AF7" w:rsidRDefault="00B64C73" w:rsidP="00B64C73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A felhívás módosítása a „D4. </w:t>
      </w:r>
      <w:proofErr w:type="gramStart"/>
      <w:r w:rsidRPr="00187AF7">
        <w:rPr>
          <w:rFonts w:asciiTheme="minorHAnsi" w:hAnsiTheme="minorHAnsi" w:cs="Garamond"/>
          <w:sz w:val="22"/>
          <w:szCs w:val="22"/>
        </w:rPr>
        <w:t>Előleg igénylés</w:t>
      </w:r>
      <w:proofErr w:type="gramEnd"/>
      <w:r w:rsidRPr="00187AF7">
        <w:rPr>
          <w:rFonts w:asciiTheme="minorHAnsi" w:hAnsiTheme="minorHAnsi" w:cs="Garamond"/>
          <w:sz w:val="22"/>
          <w:szCs w:val="22"/>
        </w:rPr>
        <w:t xml:space="preserve">” című pontban és az „F5.2 Támogatási szerződés” című pontban foglaltakat érinti, mely szerint </w:t>
      </w:r>
      <w:r w:rsidRPr="00187AF7">
        <w:rPr>
          <w:rFonts w:asciiTheme="minorHAnsi" w:hAnsiTheme="minorHAnsi" w:cs="Garamond"/>
          <w:i/>
          <w:sz w:val="22"/>
          <w:szCs w:val="22"/>
        </w:rPr>
        <w:t>„Utófinanszírozású projektelemekre a Kedvezményezett támogatási előleget igényelhet, melynek mértéke nem haladhatja meg a pályázatra megítélt támogatási összeg mértékét, tehát a támogatási összeg 100%-át.”</w:t>
      </w:r>
      <w:r w:rsidRPr="00187AF7">
        <w:rPr>
          <w:rFonts w:asciiTheme="minorHAnsi" w:hAnsiTheme="minorHAnsi" w:cs="Garamond"/>
          <w:i/>
          <w:sz w:val="22"/>
          <w:szCs w:val="22"/>
        </w:rPr>
        <w:cr/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 A fentiekre figyelemmel a felek az alábbiak szerint módosítják a vállalkozási szerződést. 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b/>
          <w:sz w:val="22"/>
          <w:szCs w:val="22"/>
          <w:u w:val="single"/>
        </w:rPr>
      </w:pPr>
      <w:r w:rsidRPr="00187AF7">
        <w:rPr>
          <w:rFonts w:asciiTheme="minorHAnsi" w:hAnsiTheme="minorHAnsi" w:cs="Garamond"/>
          <w:b/>
          <w:sz w:val="22"/>
          <w:szCs w:val="22"/>
          <w:u w:val="single"/>
        </w:rPr>
        <w:t>Eredeti szerződéses feltétel</w:t>
      </w:r>
      <w:r w:rsidR="005B6487" w:rsidRPr="00187AF7">
        <w:rPr>
          <w:rFonts w:asciiTheme="minorHAnsi" w:hAnsiTheme="minorHAnsi" w:cs="Garamond"/>
          <w:b/>
          <w:sz w:val="22"/>
          <w:szCs w:val="22"/>
          <w:u w:val="single"/>
        </w:rPr>
        <w:t>ek</w:t>
      </w:r>
      <w:r w:rsidRPr="00187AF7">
        <w:rPr>
          <w:rFonts w:asciiTheme="minorHAnsi" w:hAnsiTheme="minorHAnsi" w:cs="Garamond"/>
          <w:b/>
          <w:sz w:val="22"/>
          <w:szCs w:val="22"/>
          <w:u w:val="single"/>
        </w:rPr>
        <w:t>: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55C7E" w:rsidRPr="00187AF7" w:rsidRDefault="00B55C7E" w:rsidP="006C32A2">
      <w:pPr>
        <w:numPr>
          <w:ilvl w:val="1"/>
          <w:numId w:val="11"/>
        </w:numPr>
        <w:suppressAutoHyphens w:val="0"/>
        <w:ind w:left="567" w:hanging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>A Vállalkozási díj fedezete és pénzneme: A szerződés ellenértékének 100,000000 %-</w:t>
      </w:r>
      <w:proofErr w:type="gramStart"/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>a</w:t>
      </w:r>
      <w:proofErr w:type="gramEnd"/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 EU és költségvetési támogatásból kerül finanszírozásra. A támogatás kifizetésének formája a 4/2011. (I. 28.) Korm. rendelet 2. § (1) bekezdés 25a. pontjában meghatározott szállítói finanszírozás. A kifizetések pénzneme: HUF</w:t>
      </w:r>
    </w:p>
    <w:p w:rsidR="00B55C7E" w:rsidRPr="00187AF7" w:rsidRDefault="00B55C7E" w:rsidP="00B55C7E">
      <w:pPr>
        <w:pStyle w:val="Listaszerbekezds"/>
        <w:rPr>
          <w:rFonts w:asciiTheme="minorHAnsi" w:hAnsiTheme="minorHAnsi" w:cs="Garamond"/>
          <w:i/>
          <w:color w:val="000000"/>
          <w:sz w:val="22"/>
          <w:szCs w:val="22"/>
        </w:rPr>
      </w:pPr>
    </w:p>
    <w:p w:rsidR="00B55C7E" w:rsidRPr="00187AF7" w:rsidRDefault="00B55C7E" w:rsidP="006C32A2">
      <w:pPr>
        <w:numPr>
          <w:ilvl w:val="1"/>
          <w:numId w:val="18"/>
        </w:numPr>
        <w:suppressAutoHyphens w:val="0"/>
        <w:ind w:left="567" w:hanging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lastRenderedPageBreak/>
        <w:t xml:space="preserve">Fizetési határidő: Az egyes számlák ellenértékére eső támogatás megfizetésére a 4/2011. (I.28.) Korm. rendelet szállítói finanszírozásra vonatkozó rendelkezéseinek alkalmazása mellett a Kbt. 130. § (4) bekezdésére figyelemmel a Polgári Törvénykönyvről szóló 2013. évi V. törvény 6:130. § (1) bekezdéseiben foglaltak szerint 30 napos határidővel kerül sor. </w:t>
      </w:r>
    </w:p>
    <w:p w:rsidR="00B55C7E" w:rsidRPr="00187AF7" w:rsidRDefault="00B55C7E" w:rsidP="00B55C7E">
      <w:pPr>
        <w:suppressAutoHyphens w:val="0"/>
        <w:ind w:left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Az egyes számlák ellenértékére eső önkormányzati önerőnek a megfizetésére a Polgári Törvénykönyvről szóló 2013. évi V. törvény 6:130. § (1) bekezdéseiben foglaltak szerint 30 napos határidővel kerül sor. </w:t>
      </w:r>
    </w:p>
    <w:p w:rsidR="00B55C7E" w:rsidRPr="00187AF7" w:rsidRDefault="00B55C7E" w:rsidP="00B55C7E">
      <w:pPr>
        <w:suppressAutoHyphens w:val="0"/>
        <w:ind w:left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Amennyiben a Vállalkozó alvállalkozót vesz igénybe, a 306/2011. Korm. rendelet (XII.23.) 14. § (1) bekezdésének rendelkezései szerint kerül sor az ellenszolgáltatás megfizetésére. </w:t>
      </w:r>
    </w:p>
    <w:p w:rsidR="00B55C7E" w:rsidRPr="00187AF7" w:rsidRDefault="00B55C7E" w:rsidP="00A502DE">
      <w:pPr>
        <w:tabs>
          <w:tab w:val="num" w:pos="0"/>
        </w:tabs>
        <w:jc w:val="both"/>
        <w:rPr>
          <w:rFonts w:asciiTheme="minorHAnsi" w:hAnsiTheme="minorHAnsi" w:cs="Garamond"/>
          <w:i/>
          <w:sz w:val="22"/>
          <w:szCs w:val="22"/>
        </w:rPr>
      </w:pPr>
    </w:p>
    <w:p w:rsidR="006C32A2" w:rsidRPr="00187AF7" w:rsidRDefault="006C32A2" w:rsidP="006C32A2">
      <w:pPr>
        <w:numPr>
          <w:ilvl w:val="1"/>
          <w:numId w:val="7"/>
        </w:numPr>
        <w:tabs>
          <w:tab w:val="clear" w:pos="360"/>
          <w:tab w:val="num" w:pos="567"/>
        </w:tabs>
        <w:suppressAutoHyphens w:val="0"/>
        <w:ind w:left="567" w:hanging="567"/>
        <w:jc w:val="both"/>
        <w:rPr>
          <w:rFonts w:asciiTheme="minorHAnsi" w:hAnsiTheme="minorHAnsi" w:cs="Garamond"/>
          <w:i/>
          <w:sz w:val="22"/>
          <w:szCs w:val="22"/>
        </w:rPr>
      </w:pPr>
      <w:r w:rsidRPr="00187AF7">
        <w:rPr>
          <w:rFonts w:asciiTheme="minorHAnsi" w:hAnsiTheme="minorHAnsi" w:cs="Garamond"/>
          <w:i/>
          <w:sz w:val="22"/>
          <w:szCs w:val="22"/>
        </w:rPr>
        <w:t>Előleg-visszafizetési Biztosíték:A szerződés elszámolható összegének 10%-át meghaladó előleg igénylése esetén a Vállalkozó köteles a szerződés elszámolható összegének 10%-</w:t>
      </w:r>
      <w:proofErr w:type="gramStart"/>
      <w:r w:rsidRPr="00187AF7">
        <w:rPr>
          <w:rFonts w:asciiTheme="minorHAnsi" w:hAnsiTheme="minorHAnsi" w:cs="Garamond"/>
          <w:i/>
          <w:sz w:val="22"/>
          <w:szCs w:val="22"/>
        </w:rPr>
        <w:t>a</w:t>
      </w:r>
      <w:proofErr w:type="gramEnd"/>
      <w:r w:rsidRPr="00187AF7">
        <w:rPr>
          <w:rFonts w:asciiTheme="minorHAnsi" w:hAnsiTheme="minorHAnsi" w:cs="Garamond"/>
          <w:i/>
          <w:sz w:val="22"/>
          <w:szCs w:val="22"/>
        </w:rPr>
        <w:t xml:space="preserve"> és az igényelt szállítói előleg különbözetére jutó támogatás összegének megfelelő mértékű, a Kormány európai uniós források felhasználásával kapcsolatos irányító hatósági feladatok ellátására kijelölt tagja javára szóló, a Kbt. 126. § (6) bekezdése szerinti biztosítékot nyújtani. </w:t>
      </w:r>
    </w:p>
    <w:p w:rsidR="006C32A2" w:rsidRPr="00187AF7" w:rsidRDefault="006C32A2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b/>
          <w:sz w:val="22"/>
          <w:szCs w:val="22"/>
          <w:u w:val="single"/>
        </w:rPr>
      </w:pPr>
      <w:r w:rsidRPr="00187AF7">
        <w:rPr>
          <w:rFonts w:asciiTheme="minorHAnsi" w:hAnsiTheme="minorHAnsi" w:cs="Garamond"/>
          <w:b/>
          <w:sz w:val="22"/>
          <w:szCs w:val="22"/>
          <w:u w:val="single"/>
        </w:rPr>
        <w:t>Módosított szerződéses feltétel</w:t>
      </w:r>
      <w:r w:rsidR="005B6487" w:rsidRPr="00187AF7">
        <w:rPr>
          <w:rFonts w:asciiTheme="minorHAnsi" w:hAnsiTheme="minorHAnsi" w:cs="Garamond"/>
          <w:b/>
          <w:sz w:val="22"/>
          <w:szCs w:val="22"/>
          <w:u w:val="single"/>
        </w:rPr>
        <w:t>ek</w:t>
      </w:r>
      <w:r w:rsidRPr="00187AF7">
        <w:rPr>
          <w:rFonts w:asciiTheme="minorHAnsi" w:hAnsiTheme="minorHAnsi" w:cs="Garamond"/>
          <w:b/>
          <w:sz w:val="22"/>
          <w:szCs w:val="22"/>
          <w:u w:val="single"/>
        </w:rPr>
        <w:t xml:space="preserve">: 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>A fent idézett eredeti szerződéses feltétel</w:t>
      </w:r>
      <w:r w:rsidR="005B6487" w:rsidRPr="00187AF7">
        <w:rPr>
          <w:rFonts w:asciiTheme="minorHAnsi" w:hAnsiTheme="minorHAnsi" w:cs="Garamond"/>
          <w:sz w:val="22"/>
          <w:szCs w:val="22"/>
        </w:rPr>
        <w:t>ek</w:t>
      </w:r>
      <w:r w:rsidRPr="00187AF7">
        <w:rPr>
          <w:rFonts w:asciiTheme="minorHAnsi" w:hAnsiTheme="minorHAnsi" w:cs="Garamond"/>
          <w:sz w:val="22"/>
          <w:szCs w:val="22"/>
        </w:rPr>
        <w:t xml:space="preserve"> helyébe az alábbi rendelkezések lépnek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6C32A2" w:rsidRPr="00187AF7" w:rsidRDefault="006C32A2" w:rsidP="006C32A2">
      <w:pPr>
        <w:numPr>
          <w:ilvl w:val="1"/>
          <w:numId w:val="16"/>
        </w:numPr>
        <w:suppressAutoHyphens w:val="0"/>
        <w:ind w:left="567" w:hanging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>A Vállalkozási díj fedezete és pénzneme: A szerződés ellenértékének 100,000000 %-</w:t>
      </w:r>
      <w:proofErr w:type="gramStart"/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>a</w:t>
      </w:r>
      <w:proofErr w:type="gramEnd"/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 EU és költségvetési támogatásból kerül finanszírozásra. A támogatás kifizetésének formája a 4/2011. (I. 28.) Korm. rendelet 2. § (1) bekezdés 33. pontjában meghatározott utófinanszírozás. A kifizetések pénzneme: HUF</w:t>
      </w:r>
    </w:p>
    <w:p w:rsidR="006C32A2" w:rsidRPr="00187AF7" w:rsidRDefault="006C32A2" w:rsidP="006C32A2">
      <w:pPr>
        <w:pStyle w:val="Listaszerbekezds"/>
        <w:ind w:left="567" w:hanging="567"/>
        <w:rPr>
          <w:rFonts w:asciiTheme="minorHAnsi" w:hAnsiTheme="minorHAnsi" w:cs="Garamond"/>
          <w:i/>
          <w:color w:val="000000"/>
          <w:sz w:val="22"/>
          <w:szCs w:val="22"/>
        </w:rPr>
      </w:pPr>
    </w:p>
    <w:p w:rsidR="006C32A2" w:rsidRPr="00187AF7" w:rsidRDefault="006C32A2" w:rsidP="006C32A2">
      <w:pPr>
        <w:numPr>
          <w:ilvl w:val="1"/>
          <w:numId w:val="19"/>
        </w:numPr>
        <w:suppressAutoHyphens w:val="0"/>
        <w:ind w:left="567" w:hanging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Fizetési határidő: Az egyes számlák ellenértékének megfizetésére a Polgári Törvénykönyvről szóló 2013. évi V. törvény 6:130. § (1)-(3) bekezdéseiben foglaltak szerint 30 napos határidővel kerül sor a Megrendelő által, átutalással. </w:t>
      </w:r>
    </w:p>
    <w:p w:rsidR="006C32A2" w:rsidRPr="00187AF7" w:rsidRDefault="006C32A2" w:rsidP="006C32A2">
      <w:pPr>
        <w:suppressAutoHyphens w:val="0"/>
        <w:ind w:left="567"/>
        <w:jc w:val="both"/>
        <w:rPr>
          <w:rFonts w:asciiTheme="minorHAnsi" w:hAnsiTheme="minorHAnsi" w:cs="Garamond"/>
          <w:i/>
          <w:color w:val="000000"/>
          <w:sz w:val="22"/>
          <w:szCs w:val="22"/>
        </w:rPr>
      </w:pPr>
      <w:r w:rsidRPr="00187AF7">
        <w:rPr>
          <w:rFonts w:asciiTheme="minorHAnsi" w:hAnsiTheme="minorHAnsi" w:cs="Garamond"/>
          <w:i/>
          <w:color w:val="000000"/>
          <w:sz w:val="22"/>
          <w:szCs w:val="22"/>
        </w:rPr>
        <w:t xml:space="preserve">Amennyiben a Vállalkozó alvállalkozót vesz igénybe, a 306/2011. Korm. rendelet (XII.23.) 14. § (1) bekezdésének rendelkezései szerint kerül sor az ellenszolgáltatás megfizetésére. </w:t>
      </w:r>
    </w:p>
    <w:p w:rsidR="006C32A2" w:rsidRPr="00187AF7" w:rsidRDefault="006C32A2" w:rsidP="006C32A2">
      <w:pPr>
        <w:tabs>
          <w:tab w:val="num" w:pos="0"/>
        </w:tabs>
        <w:jc w:val="both"/>
        <w:rPr>
          <w:rFonts w:asciiTheme="minorHAnsi" w:hAnsiTheme="minorHAnsi" w:cs="Garamond"/>
          <w:i/>
          <w:sz w:val="22"/>
          <w:szCs w:val="22"/>
        </w:rPr>
      </w:pPr>
    </w:p>
    <w:p w:rsidR="006C32A2" w:rsidRPr="00187AF7" w:rsidRDefault="006C32A2" w:rsidP="006C32A2">
      <w:pPr>
        <w:numPr>
          <w:ilvl w:val="1"/>
          <w:numId w:val="17"/>
        </w:numPr>
        <w:tabs>
          <w:tab w:val="clear" w:pos="360"/>
          <w:tab w:val="num" w:pos="567"/>
        </w:tabs>
        <w:suppressAutoHyphens w:val="0"/>
        <w:ind w:left="567" w:hanging="567"/>
        <w:jc w:val="both"/>
        <w:rPr>
          <w:rFonts w:asciiTheme="minorHAnsi" w:hAnsiTheme="minorHAnsi" w:cs="Garamond"/>
          <w:i/>
          <w:sz w:val="22"/>
          <w:szCs w:val="22"/>
        </w:rPr>
      </w:pPr>
      <w:r w:rsidRPr="00187AF7">
        <w:rPr>
          <w:rFonts w:asciiTheme="minorHAnsi" w:hAnsiTheme="minorHAnsi" w:cs="Garamond"/>
          <w:i/>
          <w:sz w:val="22"/>
          <w:szCs w:val="22"/>
        </w:rPr>
        <w:t>Előleg-visszafizetési Biztosíték: A szerződés elszámolható összegének 10%-át meghaladó előleg igénylése esetén a Vállalkozó köteles a szerződés elszámolható összegének 10%-</w:t>
      </w:r>
      <w:proofErr w:type="gramStart"/>
      <w:r w:rsidRPr="00187AF7">
        <w:rPr>
          <w:rFonts w:asciiTheme="minorHAnsi" w:hAnsiTheme="minorHAnsi" w:cs="Garamond"/>
          <w:i/>
          <w:sz w:val="22"/>
          <w:szCs w:val="22"/>
        </w:rPr>
        <w:t>a</w:t>
      </w:r>
      <w:proofErr w:type="gramEnd"/>
      <w:r w:rsidRPr="00187AF7">
        <w:rPr>
          <w:rFonts w:asciiTheme="minorHAnsi" w:hAnsiTheme="minorHAnsi" w:cs="Garamond"/>
          <w:i/>
          <w:sz w:val="22"/>
          <w:szCs w:val="22"/>
        </w:rPr>
        <w:t xml:space="preserve"> és az igényelt előleg különbözetének megfelelő mértékű a Megrendelő javára szóló, a Kbt. 126. § (6) bekezdése szerinti biztosítékot nyújtani. </w:t>
      </w:r>
    </w:p>
    <w:p w:rsidR="006C32A2" w:rsidRPr="00187AF7" w:rsidRDefault="006C32A2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b/>
          <w:sz w:val="22"/>
          <w:szCs w:val="22"/>
          <w:u w:val="single"/>
        </w:rPr>
      </w:pPr>
      <w:r w:rsidRPr="00187AF7">
        <w:rPr>
          <w:rFonts w:asciiTheme="minorHAnsi" w:hAnsiTheme="minorHAnsi" w:cs="Garamond"/>
          <w:b/>
          <w:sz w:val="22"/>
          <w:szCs w:val="22"/>
          <w:u w:val="single"/>
        </w:rPr>
        <w:t>Indokolás: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A támogatást biztosító pályázati konstrukció pályázati felhívása 2015. szeptember 25-ét megelőzően, azaz a szerződés megkötésének időpontjában nem biztosította azt a lehetőséget, hogy utófinanszírozású projektelemekre a Kedvezményezett a támogatási összeg 100%-át kitevő támogatási előleget igényelhessen. </w:t>
      </w:r>
      <w:r w:rsidR="00633539" w:rsidRPr="00187AF7">
        <w:rPr>
          <w:rFonts w:asciiTheme="minorHAnsi" w:hAnsiTheme="minorHAnsi" w:cs="Garamond"/>
          <w:sz w:val="22"/>
          <w:szCs w:val="22"/>
        </w:rPr>
        <w:t>A</w:t>
      </w:r>
      <w:r w:rsidRPr="00187AF7">
        <w:rPr>
          <w:rFonts w:asciiTheme="minorHAnsi" w:hAnsiTheme="minorHAnsi" w:cs="Garamond"/>
          <w:sz w:val="22"/>
          <w:szCs w:val="22"/>
        </w:rPr>
        <w:t xml:space="preserve"> pályázati felhívás </w:t>
      </w:r>
      <w:r w:rsidR="00633539" w:rsidRPr="00187AF7">
        <w:rPr>
          <w:rFonts w:asciiTheme="minorHAnsi" w:hAnsiTheme="minorHAnsi" w:cs="Garamond"/>
          <w:sz w:val="22"/>
          <w:szCs w:val="22"/>
        </w:rPr>
        <w:t xml:space="preserve">e tekintetben történő </w:t>
      </w:r>
      <w:r w:rsidRPr="00187AF7">
        <w:rPr>
          <w:rFonts w:asciiTheme="minorHAnsi" w:hAnsiTheme="minorHAnsi" w:cs="Garamond"/>
          <w:sz w:val="22"/>
          <w:szCs w:val="22"/>
        </w:rPr>
        <w:t xml:space="preserve">módosítása a vállalkozási szerződés megkötésének napján nem volt előre látható a felek részéről. </w:t>
      </w:r>
    </w:p>
    <w:p w:rsidR="00633539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>A Megrendelő lényegesen kedvezőbb feltételek mellett képes a szerződés finanszírozására, amennyiben élhet azzal a lehetőséggel, hogy a támogatási összeg 100%-ának megfelelő összegű előleget igényel a támogatást biztosító szervezettől</w:t>
      </w:r>
      <w:r w:rsidR="00633539" w:rsidRPr="00187AF7">
        <w:rPr>
          <w:rFonts w:asciiTheme="minorHAnsi" w:hAnsiTheme="minorHAnsi" w:cs="Garamond"/>
          <w:sz w:val="22"/>
          <w:szCs w:val="22"/>
        </w:rPr>
        <w:t xml:space="preserve">, illetve a Vállalkozó is rövidebb határidőn belül juthat a számláinak ellenértékéhez, amennyiben számlái utófinanszírozás keretében kerülnek kifizetésre a Megrendelő által a támogatás terhére nyújtott előlegből. </w:t>
      </w:r>
    </w:p>
    <w:p w:rsidR="00B64C73" w:rsidRPr="00187AF7" w:rsidRDefault="00633539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Ennek megfelelően megállapítható, hogymindkét szerződő fél lényeges jogos érdekét sértené a szerződés módosításának elmaradása. </w:t>
      </w:r>
    </w:p>
    <w:p w:rsidR="00B64C73" w:rsidRPr="00187AF7" w:rsidRDefault="00B64C73" w:rsidP="00A502DE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057040" w:rsidRPr="00187AF7" w:rsidRDefault="00057040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lastRenderedPageBreak/>
        <w:t xml:space="preserve">A </w:t>
      </w:r>
      <w:r w:rsidR="00B64C73" w:rsidRPr="00187AF7">
        <w:rPr>
          <w:rFonts w:asciiTheme="minorHAnsi" w:hAnsiTheme="minorHAnsi" w:cs="Garamond"/>
          <w:sz w:val="22"/>
          <w:szCs w:val="22"/>
        </w:rPr>
        <w:t>f</w:t>
      </w:r>
      <w:r w:rsidRPr="00187AF7">
        <w:rPr>
          <w:rFonts w:asciiTheme="minorHAnsi" w:hAnsiTheme="minorHAnsi" w:cs="Garamond"/>
          <w:sz w:val="22"/>
          <w:szCs w:val="22"/>
        </w:rPr>
        <w:t xml:space="preserve">elek megállapodnak, hogy a </w:t>
      </w:r>
      <w:r w:rsidR="00B64C73" w:rsidRPr="00187AF7">
        <w:rPr>
          <w:rFonts w:asciiTheme="minorHAnsi" w:hAnsiTheme="minorHAnsi" w:cs="Garamond"/>
          <w:sz w:val="22"/>
          <w:szCs w:val="22"/>
        </w:rPr>
        <w:t>v</w:t>
      </w:r>
      <w:r w:rsidRPr="00187AF7">
        <w:rPr>
          <w:rFonts w:asciiTheme="minorHAnsi" w:hAnsiTheme="minorHAnsi" w:cs="Garamond"/>
          <w:sz w:val="22"/>
          <w:szCs w:val="22"/>
        </w:rPr>
        <w:t xml:space="preserve">állalkozási </w:t>
      </w:r>
      <w:r w:rsidR="00B64C73" w:rsidRPr="00187AF7">
        <w:rPr>
          <w:rFonts w:asciiTheme="minorHAnsi" w:hAnsiTheme="minorHAnsi" w:cs="Garamond"/>
          <w:sz w:val="22"/>
          <w:szCs w:val="22"/>
        </w:rPr>
        <w:t>s</w:t>
      </w:r>
      <w:r w:rsidRPr="00187AF7">
        <w:rPr>
          <w:rFonts w:asciiTheme="minorHAnsi" w:hAnsiTheme="minorHAnsi" w:cs="Garamond"/>
          <w:sz w:val="22"/>
          <w:szCs w:val="22"/>
        </w:rPr>
        <w:t xml:space="preserve">zerződés többi pontját változatlan tartalommal hatályában fenntartják. </w:t>
      </w:r>
    </w:p>
    <w:p w:rsidR="008772BF" w:rsidRPr="00187AF7" w:rsidRDefault="008772BF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057040" w:rsidRPr="00187AF7" w:rsidRDefault="00057040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  <w:r w:rsidRPr="00187AF7">
        <w:rPr>
          <w:rFonts w:asciiTheme="minorHAnsi" w:hAnsiTheme="minorHAnsi" w:cs="Garamond"/>
          <w:sz w:val="22"/>
          <w:szCs w:val="22"/>
        </w:rPr>
        <w:t xml:space="preserve">Jelen </w:t>
      </w:r>
      <w:r w:rsidR="00B64C73" w:rsidRPr="00187AF7">
        <w:rPr>
          <w:rFonts w:asciiTheme="minorHAnsi" w:hAnsiTheme="minorHAnsi" w:cs="Garamond"/>
          <w:sz w:val="22"/>
          <w:szCs w:val="22"/>
        </w:rPr>
        <w:t>s</w:t>
      </w:r>
      <w:r w:rsidRPr="00187AF7">
        <w:rPr>
          <w:rFonts w:asciiTheme="minorHAnsi" w:hAnsiTheme="minorHAnsi" w:cs="Garamond"/>
          <w:sz w:val="22"/>
          <w:szCs w:val="22"/>
        </w:rPr>
        <w:t xml:space="preserve">zerződésmódosítás egymással mindenben szó szerint megegyező </w:t>
      </w:r>
      <w:r w:rsidR="00B64C73" w:rsidRPr="00187AF7">
        <w:rPr>
          <w:rFonts w:asciiTheme="minorHAnsi" w:hAnsiTheme="minorHAnsi" w:cs="Garamond"/>
          <w:sz w:val="22"/>
          <w:szCs w:val="22"/>
        </w:rPr>
        <w:t>4</w:t>
      </w:r>
      <w:r w:rsidRPr="00187AF7">
        <w:rPr>
          <w:rFonts w:asciiTheme="minorHAnsi" w:hAnsiTheme="minorHAnsi" w:cs="Garamond"/>
          <w:sz w:val="22"/>
          <w:szCs w:val="22"/>
        </w:rPr>
        <w:t xml:space="preserve"> (</w:t>
      </w:r>
      <w:r w:rsidR="00B64C73" w:rsidRPr="00187AF7">
        <w:rPr>
          <w:rFonts w:asciiTheme="minorHAnsi" w:hAnsiTheme="minorHAnsi" w:cs="Garamond"/>
          <w:sz w:val="22"/>
          <w:szCs w:val="22"/>
        </w:rPr>
        <w:t>négy</w:t>
      </w:r>
      <w:r w:rsidRPr="00187AF7">
        <w:rPr>
          <w:rFonts w:asciiTheme="minorHAnsi" w:hAnsiTheme="minorHAnsi" w:cs="Garamond"/>
          <w:sz w:val="22"/>
          <w:szCs w:val="22"/>
        </w:rPr>
        <w:t xml:space="preserve">) eredeti példányban készült, amelyből Vállalkozó 1 (egy), Megrendelő </w:t>
      </w:r>
      <w:r w:rsidR="00B64C73" w:rsidRPr="00187AF7">
        <w:rPr>
          <w:rFonts w:asciiTheme="minorHAnsi" w:hAnsiTheme="minorHAnsi" w:cs="Garamond"/>
          <w:sz w:val="22"/>
          <w:szCs w:val="22"/>
        </w:rPr>
        <w:t>3</w:t>
      </w:r>
      <w:r w:rsidRPr="00187AF7">
        <w:rPr>
          <w:rFonts w:asciiTheme="minorHAnsi" w:hAnsiTheme="minorHAnsi" w:cs="Garamond"/>
          <w:sz w:val="22"/>
          <w:szCs w:val="22"/>
        </w:rPr>
        <w:t xml:space="preserve"> (</w:t>
      </w:r>
      <w:r w:rsidR="00B64C73" w:rsidRPr="00187AF7">
        <w:rPr>
          <w:rFonts w:asciiTheme="minorHAnsi" w:hAnsiTheme="minorHAnsi" w:cs="Garamond"/>
          <w:sz w:val="22"/>
          <w:szCs w:val="22"/>
        </w:rPr>
        <w:t>három</w:t>
      </w:r>
      <w:r w:rsidRPr="00187AF7">
        <w:rPr>
          <w:rFonts w:asciiTheme="minorHAnsi" w:hAnsiTheme="minorHAnsi" w:cs="Garamond"/>
          <w:sz w:val="22"/>
          <w:szCs w:val="22"/>
        </w:rPr>
        <w:t>) eredeti példányt kap.</w:t>
      </w:r>
    </w:p>
    <w:p w:rsidR="00057040" w:rsidRPr="00187AF7" w:rsidRDefault="00057040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B64C73" w:rsidRPr="00187AF7" w:rsidRDefault="00B64C73" w:rsidP="00057040">
      <w:pPr>
        <w:tabs>
          <w:tab w:val="num" w:pos="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057040" w:rsidRPr="00187AF7" w:rsidRDefault="00057040" w:rsidP="00057040">
      <w:pPr>
        <w:tabs>
          <w:tab w:val="num" w:pos="426"/>
          <w:tab w:val="num" w:pos="540"/>
          <w:tab w:val="left" w:pos="567"/>
        </w:tabs>
        <w:ind w:left="540" w:hanging="682"/>
        <w:rPr>
          <w:rFonts w:asciiTheme="minorHAnsi" w:eastAsia="Arial Unicode MS" w:hAnsiTheme="minorHAnsi"/>
          <w:sz w:val="22"/>
          <w:szCs w:val="22"/>
        </w:rPr>
      </w:pPr>
    </w:p>
    <w:tbl>
      <w:tblPr>
        <w:tblW w:w="8785" w:type="dxa"/>
        <w:jc w:val="center"/>
        <w:tblLayout w:type="fixed"/>
        <w:tblLook w:val="01E0"/>
      </w:tblPr>
      <w:tblGrid>
        <w:gridCol w:w="4466"/>
        <w:gridCol w:w="4319"/>
      </w:tblGrid>
      <w:tr w:rsidR="00057040" w:rsidRPr="00187AF7" w:rsidTr="00D413A0">
        <w:trPr>
          <w:jc w:val="center"/>
        </w:trPr>
        <w:tc>
          <w:tcPr>
            <w:tcW w:w="4466" w:type="dxa"/>
          </w:tcPr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>………………………………………</w:t>
            </w: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 xml:space="preserve"> Megrendelő</w:t>
            </w: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</w:tc>
        <w:tc>
          <w:tcPr>
            <w:tcW w:w="4319" w:type="dxa"/>
          </w:tcPr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>……………………………………</w:t>
            </w: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>Vállalkozó</w:t>
            </w:r>
          </w:p>
        </w:tc>
      </w:tr>
      <w:tr w:rsidR="00057040" w:rsidRPr="00187AF7" w:rsidTr="00D413A0">
        <w:trPr>
          <w:jc w:val="center"/>
        </w:trPr>
        <w:tc>
          <w:tcPr>
            <w:tcW w:w="4466" w:type="dxa"/>
          </w:tcPr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>Aláírás dátuma:</w:t>
            </w: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</w:tc>
        <w:tc>
          <w:tcPr>
            <w:tcW w:w="4319" w:type="dxa"/>
          </w:tcPr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  <w:r w:rsidRPr="00187AF7">
              <w:rPr>
                <w:rFonts w:asciiTheme="minorHAnsi" w:eastAsia="Arial Unicode MS" w:hAnsiTheme="minorHAnsi" w:cs="Garamond"/>
                <w:sz w:val="22"/>
                <w:szCs w:val="22"/>
              </w:rPr>
              <w:t>Aláírás dátuma:</w:t>
            </w: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  <w:p w:rsidR="00057040" w:rsidRPr="00187AF7" w:rsidRDefault="00057040" w:rsidP="00D413A0">
            <w:pPr>
              <w:jc w:val="center"/>
              <w:rPr>
                <w:rFonts w:asciiTheme="minorHAnsi" w:eastAsia="Arial Unicode MS" w:hAnsiTheme="minorHAnsi" w:cs="Garamond"/>
              </w:rPr>
            </w:pPr>
          </w:p>
        </w:tc>
      </w:tr>
    </w:tbl>
    <w:p w:rsidR="001D2C14" w:rsidRPr="00187AF7" w:rsidRDefault="001D2C14" w:rsidP="00057040">
      <w:pPr>
        <w:tabs>
          <w:tab w:val="num" w:pos="36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A502DE" w:rsidRPr="00187AF7" w:rsidRDefault="00A502DE" w:rsidP="00057040">
      <w:pPr>
        <w:tabs>
          <w:tab w:val="num" w:pos="360"/>
        </w:tabs>
        <w:jc w:val="both"/>
        <w:rPr>
          <w:rFonts w:asciiTheme="minorHAnsi" w:hAnsiTheme="minorHAnsi" w:cs="Garamond"/>
          <w:sz w:val="22"/>
          <w:szCs w:val="22"/>
        </w:rPr>
      </w:pPr>
    </w:p>
    <w:p w:rsidR="00A502DE" w:rsidRPr="00187AF7" w:rsidRDefault="00A502DE" w:rsidP="00057040">
      <w:pPr>
        <w:tabs>
          <w:tab w:val="num" w:pos="360"/>
        </w:tabs>
        <w:jc w:val="both"/>
        <w:rPr>
          <w:rFonts w:asciiTheme="minorHAnsi" w:hAnsiTheme="minorHAnsi" w:cs="Garamond"/>
          <w:sz w:val="22"/>
          <w:szCs w:val="22"/>
        </w:rPr>
      </w:pPr>
    </w:p>
    <w:sectPr w:rsidR="00A502DE" w:rsidRPr="00187AF7" w:rsidSect="00821564">
      <w:pgSz w:w="11906" w:h="16838"/>
      <w:pgMar w:top="1418" w:right="1418" w:bottom="1418" w:left="1276" w:header="709" w:footer="709" w:gutter="0"/>
      <w:pgBorders w:offsetFrom="page">
        <w:top w:val="none" w:sz="45" w:space="15" w:color="000000"/>
        <w:left w:val="none" w:sz="0" w:space="0" w:color="000000"/>
        <w:bottom w:val="none" w:sz="255" w:space="0" w:color="0000FF"/>
        <w:right w:val="none" w:sz="0" w:space="0" w:color="000000"/>
      </w:pgBorders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2138B"/>
    <w:multiLevelType w:val="multilevel"/>
    <w:tmpl w:val="169E0B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0922AB"/>
    <w:multiLevelType w:val="multilevel"/>
    <w:tmpl w:val="9E38779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6947C4"/>
    <w:multiLevelType w:val="hybridMultilevel"/>
    <w:tmpl w:val="D4205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21EB6"/>
    <w:multiLevelType w:val="multilevel"/>
    <w:tmpl w:val="D29439A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4">
    <w:nsid w:val="0F4E50A7"/>
    <w:multiLevelType w:val="multilevel"/>
    <w:tmpl w:val="DAE0423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13007A7"/>
    <w:multiLevelType w:val="multilevel"/>
    <w:tmpl w:val="F67235A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6">
    <w:nsid w:val="1B3E5F77"/>
    <w:multiLevelType w:val="hybridMultilevel"/>
    <w:tmpl w:val="97AAD76E"/>
    <w:lvl w:ilvl="0" w:tplc="DE00437E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00" w:hanging="360"/>
      </w:pPr>
    </w:lvl>
    <w:lvl w:ilvl="2" w:tplc="040E001B" w:tentative="1">
      <w:start w:val="1"/>
      <w:numFmt w:val="lowerRoman"/>
      <w:lvlText w:val="%3."/>
      <w:lvlJc w:val="right"/>
      <w:pPr>
        <w:ind w:left="2820" w:hanging="180"/>
      </w:pPr>
    </w:lvl>
    <w:lvl w:ilvl="3" w:tplc="040E000F" w:tentative="1">
      <w:start w:val="1"/>
      <w:numFmt w:val="decimal"/>
      <w:lvlText w:val="%4."/>
      <w:lvlJc w:val="left"/>
      <w:pPr>
        <w:ind w:left="3540" w:hanging="360"/>
      </w:pPr>
    </w:lvl>
    <w:lvl w:ilvl="4" w:tplc="040E0019" w:tentative="1">
      <w:start w:val="1"/>
      <w:numFmt w:val="lowerLetter"/>
      <w:lvlText w:val="%5."/>
      <w:lvlJc w:val="left"/>
      <w:pPr>
        <w:ind w:left="4260" w:hanging="360"/>
      </w:pPr>
    </w:lvl>
    <w:lvl w:ilvl="5" w:tplc="040E001B" w:tentative="1">
      <w:start w:val="1"/>
      <w:numFmt w:val="lowerRoman"/>
      <w:lvlText w:val="%6."/>
      <w:lvlJc w:val="right"/>
      <w:pPr>
        <w:ind w:left="4980" w:hanging="180"/>
      </w:pPr>
    </w:lvl>
    <w:lvl w:ilvl="6" w:tplc="040E000F" w:tentative="1">
      <w:start w:val="1"/>
      <w:numFmt w:val="decimal"/>
      <w:lvlText w:val="%7."/>
      <w:lvlJc w:val="left"/>
      <w:pPr>
        <w:ind w:left="5700" w:hanging="360"/>
      </w:pPr>
    </w:lvl>
    <w:lvl w:ilvl="7" w:tplc="040E0019" w:tentative="1">
      <w:start w:val="1"/>
      <w:numFmt w:val="lowerLetter"/>
      <w:lvlText w:val="%8."/>
      <w:lvlJc w:val="left"/>
      <w:pPr>
        <w:ind w:left="6420" w:hanging="360"/>
      </w:pPr>
    </w:lvl>
    <w:lvl w:ilvl="8" w:tplc="040E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78B30F5"/>
    <w:multiLevelType w:val="multilevel"/>
    <w:tmpl w:val="D4541F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004D4F"/>
    <w:multiLevelType w:val="multilevel"/>
    <w:tmpl w:val="419EC8C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9">
    <w:nsid w:val="30E621F4"/>
    <w:multiLevelType w:val="multilevel"/>
    <w:tmpl w:val="5FAA58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23317B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0C13830"/>
    <w:multiLevelType w:val="multilevel"/>
    <w:tmpl w:val="C2F60A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520"/>
      </w:pPr>
      <w:rPr>
        <w:rFonts w:hint="default"/>
      </w:rPr>
    </w:lvl>
  </w:abstractNum>
  <w:abstractNum w:abstractNumId="12">
    <w:nsid w:val="513D5CFB"/>
    <w:multiLevelType w:val="hybridMultilevel"/>
    <w:tmpl w:val="C5E43D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AC6810"/>
    <w:multiLevelType w:val="multilevel"/>
    <w:tmpl w:val="A7063D4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69B1402"/>
    <w:multiLevelType w:val="multilevel"/>
    <w:tmpl w:val="5FAA58C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759045A"/>
    <w:multiLevelType w:val="hybridMultilevel"/>
    <w:tmpl w:val="9B5EEFA4"/>
    <w:lvl w:ilvl="0" w:tplc="11C29EA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576C13"/>
    <w:multiLevelType w:val="multilevel"/>
    <w:tmpl w:val="1DB28E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7">
    <w:nsid w:val="763A6BEB"/>
    <w:multiLevelType w:val="hybridMultilevel"/>
    <w:tmpl w:val="CE309FFA"/>
    <w:lvl w:ilvl="0" w:tplc="FFFFFFFF">
      <w:start w:val="1"/>
      <w:numFmt w:val="lowerLetter"/>
      <w:lvlText w:val="%1 )"/>
      <w:lvlJc w:val="left"/>
      <w:pPr>
        <w:tabs>
          <w:tab w:val="num" w:pos="2004"/>
        </w:tabs>
        <w:ind w:left="200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EC40BFE"/>
    <w:multiLevelType w:val="hybridMultilevel"/>
    <w:tmpl w:val="A41A22D2"/>
    <w:lvl w:ilvl="0" w:tplc="11C29EA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4"/>
  </w:num>
  <w:num w:numId="5">
    <w:abstractNumId w:val="13"/>
  </w:num>
  <w:num w:numId="6">
    <w:abstractNumId w:val="17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1"/>
  </w:num>
  <w:num w:numId="12">
    <w:abstractNumId w:val="12"/>
  </w:num>
  <w:num w:numId="13">
    <w:abstractNumId w:val="15"/>
  </w:num>
  <w:num w:numId="14">
    <w:abstractNumId w:val="2"/>
  </w:num>
  <w:num w:numId="15">
    <w:abstractNumId w:val="18"/>
  </w:num>
  <w:num w:numId="16">
    <w:abstractNumId w:val="3"/>
  </w:num>
  <w:num w:numId="17">
    <w:abstractNumId w:val="9"/>
  </w:num>
  <w:num w:numId="18">
    <w:abstractNumId w:val="8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D2C14"/>
    <w:rsid w:val="00057040"/>
    <w:rsid w:val="00153073"/>
    <w:rsid w:val="00187AF7"/>
    <w:rsid w:val="001B4A55"/>
    <w:rsid w:val="001D2C14"/>
    <w:rsid w:val="00292990"/>
    <w:rsid w:val="002B0FCE"/>
    <w:rsid w:val="002D5081"/>
    <w:rsid w:val="00384389"/>
    <w:rsid w:val="004125F8"/>
    <w:rsid w:val="00421D50"/>
    <w:rsid w:val="004261CA"/>
    <w:rsid w:val="004335AE"/>
    <w:rsid w:val="00460576"/>
    <w:rsid w:val="0050042A"/>
    <w:rsid w:val="005B6487"/>
    <w:rsid w:val="005F2AF2"/>
    <w:rsid w:val="00632395"/>
    <w:rsid w:val="00633539"/>
    <w:rsid w:val="006C32A2"/>
    <w:rsid w:val="00735A92"/>
    <w:rsid w:val="007F6EF0"/>
    <w:rsid w:val="00802935"/>
    <w:rsid w:val="008667F2"/>
    <w:rsid w:val="0086692A"/>
    <w:rsid w:val="008720DB"/>
    <w:rsid w:val="008772BF"/>
    <w:rsid w:val="008A02B7"/>
    <w:rsid w:val="008B183E"/>
    <w:rsid w:val="008F64C6"/>
    <w:rsid w:val="009811CF"/>
    <w:rsid w:val="00A05E2E"/>
    <w:rsid w:val="00A502DE"/>
    <w:rsid w:val="00B31437"/>
    <w:rsid w:val="00B55C7E"/>
    <w:rsid w:val="00B64C73"/>
    <w:rsid w:val="00C55B93"/>
    <w:rsid w:val="00E36F43"/>
    <w:rsid w:val="00ED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C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1D2C14"/>
    <w:pPr>
      <w:suppressAutoHyphens w:val="0"/>
      <w:ind w:left="708"/>
    </w:pPr>
    <w:rPr>
      <w:lang w:eastAsia="hu-HU"/>
    </w:rPr>
  </w:style>
  <w:style w:type="paragraph" w:styleId="Cm">
    <w:name w:val="Title"/>
    <w:basedOn w:val="Norml"/>
    <w:link w:val="CmChar"/>
    <w:qFormat/>
    <w:rsid w:val="00A502DE"/>
    <w:pPr>
      <w:suppressAutoHyphens w:val="0"/>
      <w:snapToGrid w:val="0"/>
      <w:jc w:val="center"/>
    </w:pPr>
    <w:rPr>
      <w:rFonts w:ascii="Arial" w:hAnsi="Arial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502DE"/>
    <w:rPr>
      <w:rFonts w:ascii="Arial" w:eastAsia="Times New Roman" w:hAnsi="Arial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C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1D2C14"/>
    <w:pPr>
      <w:suppressAutoHyphens w:val="0"/>
      <w:ind w:left="708"/>
    </w:pPr>
    <w:rPr>
      <w:lang w:eastAsia="hu-HU"/>
    </w:rPr>
  </w:style>
  <w:style w:type="paragraph" w:styleId="Cm">
    <w:name w:val="Title"/>
    <w:basedOn w:val="Norml"/>
    <w:link w:val="CmChar"/>
    <w:qFormat/>
    <w:rsid w:val="00A502DE"/>
    <w:pPr>
      <w:suppressAutoHyphens w:val="0"/>
      <w:snapToGrid w:val="0"/>
      <w:jc w:val="center"/>
    </w:pPr>
    <w:rPr>
      <w:rFonts w:ascii="Arial" w:hAnsi="Arial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A502DE"/>
    <w:rPr>
      <w:rFonts w:ascii="Arial" w:eastAsia="Times New Roman" w:hAnsi="Arial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Mártika</cp:lastModifiedBy>
  <cp:revision>2</cp:revision>
  <dcterms:created xsi:type="dcterms:W3CDTF">2015-11-11T13:16:00Z</dcterms:created>
  <dcterms:modified xsi:type="dcterms:W3CDTF">2015-11-11T13:16:00Z</dcterms:modified>
</cp:coreProperties>
</file>